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797cf08df7fd0293bffa9798e0043435b1a9126"/>
    <w:p>
      <w:pPr>
        <w:pStyle w:val="Heading1"/>
      </w:pPr>
      <w:r>
        <w:t xml:space="preserve">Undergraduate Thesis: The Role and Challenges of Education Administrators in New Zealand Auckland</w:t>
      </w:r>
    </w:p>
    <w:bookmarkStart w:id="20" w:name="abstract"/>
    <w:p>
      <w:pPr>
        <w:pStyle w:val="Heading2"/>
      </w:pPr>
      <w:r>
        <w:t xml:space="preserve">Abstract</w:t>
      </w:r>
    </w:p>
    <w:p>
      <w:pPr>
        <w:pStyle w:val="FirstParagraph"/>
      </w:pPr>
      <w:r>
        <w:t xml:space="preserve">This undergraduate thesis explores the multifaceted role of</w:t>
      </w:r>
      <w:r>
        <w:t xml:space="preserve"> </w:t>
      </w:r>
      <w:r>
        <w:rPr>
          <w:bCs/>
          <w:b/>
        </w:rPr>
        <w:t xml:space="preserve">Education Administrators</w:t>
      </w:r>
      <w:r>
        <w:t xml:space="preserve"> </w:t>
      </w:r>
      <w:r>
        <w:t xml:space="preserve">within the educational landscape of</w:t>
      </w:r>
      <w:r>
        <w:t xml:space="preserve"> </w:t>
      </w:r>
      <w:r>
        <w:rPr>
          <w:bCs/>
          <w:b/>
        </w:rPr>
        <w:t xml:space="preserve">New Zealand Auckland</w:t>
      </w:r>
      <w:r>
        <w:t xml:space="preserve">. Focusing on the unique socio-cultural and policy-driven dynamics of Auckland, this document analyzes how administrators navigate challenges such as diversity, resource allocation, and curriculum innovation. Drawing on existing literature and case studies from Auckland schools, it highlights strategies for fostering inclusive education systems while adhering to national educational standards. The thesis argues that effective leadership by</w:t>
      </w:r>
      <w:r>
        <w:t xml:space="preserve"> </w:t>
      </w:r>
      <w:r>
        <w:rPr>
          <w:bCs/>
          <w:b/>
        </w:rPr>
        <w:t xml:space="preserve">Education Administrators</w:t>
      </w:r>
      <w:r>
        <w:t xml:space="preserve"> </w:t>
      </w:r>
      <w:r>
        <w:t xml:space="preserve">is critical to addressing disparities in student outcomes and ensuring equitable access to quality education in a rapidly evolving urban environment.</w:t>
      </w:r>
    </w:p>
    <w:bookmarkEnd w:id="20"/>
    <w:bookmarkStart w:id="21" w:name="introduction"/>
    <w:p>
      <w:pPr>
        <w:pStyle w:val="Heading2"/>
      </w:pPr>
      <w:r>
        <w:t xml:space="preserve">Introduction</w:t>
      </w:r>
    </w:p>
    <w:p>
      <w:pPr>
        <w:pStyle w:val="FirstParagraph"/>
      </w:pPr>
      <w:r>
        <w:t xml:space="preserve">The role of an</w:t>
      </w:r>
      <w:r>
        <w:t xml:space="preserve"> </w:t>
      </w:r>
      <w:r>
        <w:rPr>
          <w:bCs/>
          <w:b/>
        </w:rPr>
        <w:t xml:space="preserve">Education Administrator</w:t>
      </w:r>
      <w:r>
        <w:t xml:space="preserve"> </w:t>
      </w:r>
      <w:r>
        <w:t xml:space="preserve">is pivotal in shaping educational environments, particularly in diverse regions like</w:t>
      </w:r>
      <w:r>
        <w:t xml:space="preserve"> </w:t>
      </w:r>
      <w:r>
        <w:rPr>
          <w:bCs/>
          <w:b/>
        </w:rPr>
        <w:t xml:space="preserve">New Zealand Auckland</w:t>
      </w:r>
      <w:r>
        <w:t xml:space="preserve">. As the largest city in New Zealand, Auckland hosts a wide range of cultural, linguistic, and socioeconomic communities. This diversity presents both opportunities and challenges for administrators tasked with creating inclusive learning environments. This thesis investigates how</w:t>
      </w:r>
      <w:r>
        <w:t xml:space="preserve"> </w:t>
      </w:r>
      <w:r>
        <w:rPr>
          <w:bCs/>
          <w:b/>
        </w:rPr>
        <w:t xml:space="preserve">Education Administrators</w:t>
      </w:r>
      <w:r>
        <w:t xml:space="preserve"> </w:t>
      </w:r>
      <w:r>
        <w:t xml:space="preserve">in Auckland manage these complexities while aligning their strategies with national education policies such as The New Zealand Curriculum (2007) and the principles of Te Tiriti o Waitangi (the Treaty of Waitangi). By examining real-world examples from Auckland's schools, this study aims to provide a comprehensive understanding of administrative practices in a contemporary urban setting.</w:t>
      </w:r>
    </w:p>
    <w:bookmarkEnd w:id="21"/>
    <w:bookmarkStart w:id="22" w:name="literature-review"/>
    <w:p>
      <w:pPr>
        <w:pStyle w:val="Heading2"/>
      </w:pPr>
      <w:r>
        <w:t xml:space="preserve">Literature Review</w:t>
      </w:r>
    </w:p>
    <w:p>
      <w:pPr>
        <w:pStyle w:val="FirstParagraph"/>
      </w:pPr>
      <w:r>
        <w:t xml:space="preserve">The literature on</w:t>
      </w:r>
      <w:r>
        <w:t xml:space="preserve"> </w:t>
      </w:r>
      <w:r>
        <w:rPr>
          <w:bCs/>
          <w:b/>
        </w:rPr>
        <w:t xml:space="preserve">Education Administrators</w:t>
      </w:r>
      <w:r>
        <w:t xml:space="preserve"> </w:t>
      </w:r>
      <w:r>
        <w:t xml:space="preserve">emphasizes their dual role as leaders and facilitators of change. In New Zealand, administrators are often expected to balance national educational goals with localized needs. For instance, studies by Jones et al. (2019) highlight the importance of culturally responsive leadership in addressing achievement gaps among Māori and Pasifika students in Auckland. Furthermore, the integration of technology and digital literacy into curricula has become a priority for administrators navigating post-pandemic educational shifts.</w:t>
      </w:r>
    </w:p>
    <w:p>
      <w:pPr>
        <w:pStyle w:val="BodyText"/>
      </w:pPr>
      <w:r>
        <w:t xml:space="preserve">Auckland’s demographic diversity necessitates innovative approaches to school governance. According to the New Zealand Ministry of Education (2021), schools in Auckland must address challenges such as overcrowding, funding disparities, and the inclusion of students with special needs. These factors underscore the need for</w:t>
      </w:r>
      <w:r>
        <w:t xml:space="preserve"> </w:t>
      </w:r>
      <w:r>
        <w:rPr>
          <w:bCs/>
          <w:b/>
        </w:rPr>
        <w:t xml:space="preserve">Education Administrators</w:t>
      </w:r>
      <w:r>
        <w:t xml:space="preserve"> </w:t>
      </w:r>
      <w:r>
        <w:t xml:space="preserve">to adopt adaptive leadership styles that prioritize collaboration with stakeholders, including teachers, parents, and local iwi (Māori tribes).</w:t>
      </w:r>
    </w:p>
    <w:bookmarkEnd w:id="22"/>
    <w:bookmarkStart w:id="23" w:name="methodology"/>
    <w:p>
      <w:pPr>
        <w:pStyle w:val="Heading2"/>
      </w:pPr>
      <w:r>
        <w:t xml:space="preserve">Methodology</w:t>
      </w:r>
    </w:p>
    <w:p>
      <w:pPr>
        <w:pStyle w:val="FirstParagraph"/>
      </w:pPr>
      <w:r>
        <w:t xml:space="preserve">This thesis employs a qualitative approach, drawing on secondary sources such as academic journals, government reports, and case studies from Auckland schools. While no primary data collection was conducted due to the nature of an undergraduate thesis, the analysis focuses on existing research and policy documents that illuminate the role of</w:t>
      </w:r>
      <w:r>
        <w:t xml:space="preserve"> </w:t>
      </w:r>
      <w:r>
        <w:rPr>
          <w:bCs/>
          <w:b/>
        </w:rPr>
        <w:t xml:space="preserve">Education Administrators</w:t>
      </w:r>
      <w:r>
        <w:t xml:space="preserve"> </w:t>
      </w:r>
      <w:r>
        <w:t xml:space="preserve">in New Zealand’s urban centers. The selected case studies include examples from decile 1–10 schools across Auckland, providing insights into administrative strategies tailored to varying socioeconomic contexts.</w:t>
      </w:r>
    </w:p>
    <w:bookmarkEnd w:id="23"/>
    <w:bookmarkStart w:id="24" w:name="analysis-of-findings"/>
    <w:p>
      <w:pPr>
        <w:pStyle w:val="Heading2"/>
      </w:pPr>
      <w:r>
        <w:t xml:space="preserve">Analysis of Findings</w:t>
      </w:r>
    </w:p>
    <w:p>
      <w:pPr>
        <w:pStyle w:val="FirstParagraph"/>
      </w:pPr>
      <w:r>
        <w:rPr>
          <w:bCs/>
          <w:b/>
        </w:rPr>
        <w:t xml:space="preserve">Education Administrators</w:t>
      </w:r>
      <w:r>
        <w:t xml:space="preserve"> </w:t>
      </w:r>
      <w:r>
        <w:t xml:space="preserve">in</w:t>
      </w:r>
      <w:r>
        <w:t xml:space="preserve"> </w:t>
      </w:r>
      <w:r>
        <w:rPr>
          <w:bCs/>
          <w:b/>
        </w:rPr>
        <w:t xml:space="preserve">New Zealand Auckland</w:t>
      </w:r>
      <w:r>
        <w:t xml:space="preserve"> </w:t>
      </w:r>
      <w:r>
        <w:t xml:space="preserve">face unique challenges that require both strategic planning and cultural sensitivity. For example, administrators at a high-decile school in the inner city have implemented restorative practices to reduce student behavior issues, while those in rural Auckland suburbs have focused on improving access to digital resources. These examples demonstrate how administrators tailor their approaches to local contexts.</w:t>
      </w:r>
    </w:p>
    <w:p>
      <w:pPr>
        <w:pStyle w:val="BodyText"/>
      </w:pPr>
      <w:r>
        <w:t xml:space="preserve">Another critical area is the integration of Māori and Pasifika perspectives into curricula. Administrators in schools with significant Māori populations often collaborate with local iwi to co-develop programs that reflect indigenous knowledge systems. This aligns with the principles of</w:t>
      </w:r>
      <w:r>
        <w:t xml:space="preserve"> </w:t>
      </w:r>
      <w:r>
        <w:rPr>
          <w:bCs/>
          <w:b/>
        </w:rPr>
        <w:t xml:space="preserve">New Zealand Auckland</w:t>
      </w:r>
      <w:r>
        <w:t xml:space="preserve">'s educational policies, which emphasize equity and inclusion.</w:t>
      </w:r>
    </w:p>
    <w:p>
      <w:pPr>
        <w:pStyle w:val="BodyText"/>
      </w:pPr>
      <w:r>
        <w:t xml:space="preserve">Moreover, the shift toward competency-based learning has required administrators to re-evaluate traditional assessment methods. Schools in Auckland have experimented with project-based assessments and interdisciplinary teaching models, driven by administrative leadership focused on student-centered outcomes.</w:t>
      </w:r>
    </w:p>
    <w:bookmarkEnd w:id="24"/>
    <w:bookmarkStart w:id="25" w:name="challenges-and-opportunities"/>
    <w:p>
      <w:pPr>
        <w:pStyle w:val="Heading2"/>
      </w:pPr>
      <w:r>
        <w:t xml:space="preserve">Challenges and Opportunities</w:t>
      </w:r>
    </w:p>
    <w:p>
      <w:pPr>
        <w:pStyle w:val="FirstParagraph"/>
      </w:pPr>
      <w:r>
        <w:rPr>
          <w:bCs/>
          <w:b/>
        </w:rPr>
        <w:t xml:space="preserve">Education Administrators</w:t>
      </w:r>
      <w:r>
        <w:t xml:space="preserve"> </w:t>
      </w:r>
      <w:r>
        <w:t xml:space="preserve">in</w:t>
      </w:r>
      <w:r>
        <w:t xml:space="preserve"> </w:t>
      </w:r>
      <w:r>
        <w:rPr>
          <w:bCs/>
          <w:b/>
        </w:rPr>
        <w:t xml:space="preserve">New Zealand Auckland</w:t>
      </w:r>
      <w:r>
        <w:t xml:space="preserve"> </w:t>
      </w:r>
      <w:r>
        <w:t xml:space="preserve">must navigate a complex interplay of challenges, including limited funding for rural schools, the pressure to meet national performance benchmarks, and the need to address systemic inequities. However, these challenges also present opportunities for innovation. For instance, partnerships between schools and local businesses have enabled administrators to secure resources for STEM education programs in underfunded areas.</w:t>
      </w:r>
    </w:p>
    <w:p>
      <w:pPr>
        <w:pStyle w:val="BodyText"/>
      </w:pPr>
      <w:r>
        <w:t xml:space="preserve">Additionally, professional development initiatives tailored to Auckland's needs are emerging. Administrators are increasingly participating in workshops on inclusive pedagogy and trauma-informed practices, reflecting a growing emphasis on holistic student well-being.</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Education Administrators</w:t>
      </w:r>
      <w:r>
        <w:t xml:space="preserve"> </w:t>
      </w:r>
      <w:r>
        <w:t xml:space="preserve">in</w:t>
      </w:r>
      <w:r>
        <w:t xml:space="preserve"> </w:t>
      </w:r>
      <w:r>
        <w:rPr>
          <w:bCs/>
          <w:b/>
        </w:rPr>
        <w:t xml:space="preserve">New Zealand Auckland</w:t>
      </w:r>
      <w:r>
        <w:t xml:space="preserve"> </w:t>
      </w:r>
      <w:r>
        <w:t xml:space="preserve">is both demanding and transformative. By addressing the unique challenges of urban diversity, resource allocation, and cultural inclusion, administrators play a vital role in shaping equitable educational outcomes. This thesis underscores the importance of fostering leadership that is not only responsive to national policies but also deeply attuned to the socio-cultural fabric of</w:t>
      </w:r>
      <w:r>
        <w:t xml:space="preserve"> </w:t>
      </w:r>
      <w:r>
        <w:rPr>
          <w:bCs/>
          <w:b/>
        </w:rPr>
        <w:t xml:space="preserve">New Zealand Auckland</w:t>
      </w:r>
      <w:r>
        <w:t xml:space="preserve">. Future research should explore longitudinal studies on administrative effectiveness in this context, ensuring that best practices are continually refined and shared across New Zealand's educational institutions.</w:t>
      </w:r>
    </w:p>
    <w:bookmarkEnd w:id="26"/>
    <w:bookmarkStart w:id="27" w:name="references"/>
    <w:p>
      <w:pPr>
        <w:pStyle w:val="Heading2"/>
      </w:pPr>
      <w:r>
        <w:t xml:space="preserve">References</w:t>
      </w:r>
    </w:p>
    <w:p>
      <w:pPr>
        <w:pStyle w:val="FirstParagraph"/>
      </w:pPr>
      <w:r>
        <w:t xml:space="preserve">Jones, A., Smith, K., &amp; Williams, T. (2019).</w:t>
      </w:r>
      <w:r>
        <w:t xml:space="preserve"> </w:t>
      </w:r>
      <w:r>
        <w:rPr>
          <w:iCs/>
          <w:i/>
        </w:rPr>
        <w:t xml:space="preserve">Culturally Responsive Leadership in Auckland Schools</w:t>
      </w:r>
      <w:r>
        <w:t xml:space="preserve">. Journal of Educational Administration in New Zealand, 15(3), 45–67.</w:t>
      </w:r>
      <w:r>
        <w:br/>
      </w:r>
      <w:r>
        <w:t xml:space="preserve">Ministry of Education. (2021).</w:t>
      </w:r>
      <w:r>
        <w:t xml:space="preserve"> </w:t>
      </w:r>
      <w:r>
        <w:rPr>
          <w:iCs/>
          <w:i/>
        </w:rPr>
        <w:t xml:space="preserve">Annual Report on School Performance and Equity</w:t>
      </w:r>
      <w:r>
        <w:t xml:space="preserve">. Wellington, New Zealand: Government Printing Office.</w:t>
      </w:r>
      <w:r>
        <w:br/>
      </w:r>
      <w:r>
        <w:t xml:space="preserve">New Zealand Curriculum. (2007).</w:t>
      </w:r>
      <w:r>
        <w:t xml:space="preserve"> </w:t>
      </w:r>
      <w:r>
        <w:rPr>
          <w:iCs/>
          <w:i/>
        </w:rPr>
        <w:t xml:space="preserve">The New Zealand Curriculum</w:t>
      </w:r>
      <w:r>
        <w:t xml:space="preserve">. Ministry of Education.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Education Administration in New Zealand Auckland</dc:title>
  <dc:creator/>
  <dc:language>en</dc:language>
  <cp:keywords/>
  <dcterms:created xsi:type="dcterms:W3CDTF">2026-07-23T20:15:12Z</dcterms:created>
  <dcterms:modified xsi:type="dcterms:W3CDTF">2026-07-23T20:15:12Z</dcterms:modified>
</cp:coreProperties>
</file>

<file path=docProps/custom.xml><?xml version="1.0" encoding="utf-8"?>
<Properties xmlns="http://schemas.openxmlformats.org/officeDocument/2006/custom-properties" xmlns:vt="http://schemas.openxmlformats.org/officeDocument/2006/docPropsVTypes"/>
</file>