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28afbb6ea9c8f9f2b934c4fcc4819bf0335dec1"/>
    <w:p>
      <w:pPr>
        <w:pStyle w:val="Heading1"/>
      </w:pPr>
      <w:r>
        <w:t xml:space="preserve">Undergraduate Thesis: The Role of an Education Administrator in the Context of Russia, Moscow</w:t>
      </w:r>
    </w:p>
    <w:bookmarkStart w:id="20" w:name="abstract"/>
    <w:p>
      <w:pPr>
        <w:pStyle w:val="Heading2"/>
      </w:pPr>
      <w:r>
        <w:t xml:space="preserve">Abstract</w:t>
      </w:r>
    </w:p>
    <w:p>
      <w:pPr>
        <w:pStyle w:val="FirstParagraph"/>
      </w:pPr>
      <w:r>
        <w:t xml:space="preserve">This Undergraduate Thesis explores the multifaceted role of an</w:t>
      </w:r>
      <w:r>
        <w:t xml:space="preserve"> </w:t>
      </w:r>
      <w:r>
        <w:rPr>
          <w:bCs/>
          <w:b/>
        </w:rPr>
        <w:t xml:space="preserve">Education Administrator</w:t>
      </w:r>
      <w:r>
        <w:t xml:space="preserve"> </w:t>
      </w:r>
      <w:r>
        <w:t xml:space="preserve">within the educational landscape of</w:t>
      </w:r>
      <w:r>
        <w:t xml:space="preserve"> </w:t>
      </w:r>
      <w:r>
        <w:rPr>
          <w:bCs/>
          <w:b/>
        </w:rPr>
        <w:t xml:space="preserve">Russia, Moscow</w:t>
      </w:r>
      <w:r>
        <w:t xml:space="preserve">. Focusing on the challenges and responsibilities faced by administrators in this specific geopolitical and cultural context, this document examines how systemic reforms, policy implementation, and socio-economic factors shape administrative practices in Moscow’s schools. By analyzing case studies of educational institutions in the city and referencing recent legislative changes under Russia’s federal education framework, the thesis aims to highlight both the unique opportunities and obstacles that define leadership in education administration today.</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pivotal in shaping national educational policies and ensuring their effective implementation at local levels. In</w:t>
      </w:r>
      <w:r>
        <w:t xml:space="preserve"> </w:t>
      </w:r>
      <w:r>
        <w:rPr>
          <w:bCs/>
          <w:b/>
        </w:rPr>
        <w:t xml:space="preserve">Russia, Moscow</w:t>
      </w:r>
      <w:r>
        <w:t xml:space="preserve">, where the Ministry of Education and Science exerts significant influence, administrators must navigate a complex interplay between federal mandates and regional priorities. This thesis investigates how these dynamics affect the day-to-day operations of schools, universities, and other educational institutions in Moscow. The research is grounded in the premise that understanding administrative challenges in this context is essential for improving educational outcomes across Russia.</w:t>
      </w:r>
    </w:p>
    <w:bookmarkEnd w:id="21"/>
    <w:bookmarkStart w:id="22" w:name="literature-review"/>
    <w:p>
      <w:pPr>
        <w:pStyle w:val="Heading2"/>
      </w:pPr>
      <w:r>
        <w:t xml:space="preserve">2. Literature Review</w:t>
      </w:r>
    </w:p>
    <w:p>
      <w:pPr>
        <w:pStyle w:val="FirstParagraph"/>
      </w:pPr>
      <w:r>
        <w:t xml:space="preserve">The academic discourse on</w:t>
      </w:r>
      <w:r>
        <w:t xml:space="preserve"> </w:t>
      </w:r>
      <w:r>
        <w:rPr>
          <w:bCs/>
          <w:b/>
        </w:rPr>
        <w:t xml:space="preserve">Education Administration</w:t>
      </w:r>
      <w:r>
        <w:t xml:space="preserve"> </w:t>
      </w:r>
      <w:r>
        <w:t xml:space="preserve">has historically emphasized leadership strategies, resource management, and policy alignment. However, studies focusing specifically on</w:t>
      </w:r>
      <w:r>
        <w:t xml:space="preserve"> </w:t>
      </w:r>
      <w:r>
        <w:rPr>
          <w:bCs/>
          <w:b/>
        </w:rPr>
        <w:t xml:space="preserve">Russia, Moscow</w:t>
      </w:r>
      <w:r>
        <w:t xml:space="preserve"> </w:t>
      </w:r>
      <w:r>
        <w:t xml:space="preserve">are limited in scope. Key literature includes works by scholars such as Elena Petrova and Alexander Ivanov, who analyze the impact of post-Soviet reforms on modern educational governance in Russian cities. These studies underscore the importance of administrative adaptability in regions like Moscow, where rapid urbanization and technological integration demand innovative solutions.</w:t>
      </w:r>
    </w:p>
    <w:p>
      <w:pPr>
        <w:pStyle w:val="BodyText"/>
      </w:pPr>
      <w:r>
        <w:t xml:space="preserve">Additionally, international frameworks—such as UNESCO’s guidelines for education leadership—provide benchmarks for evaluating administrative practices in Moscow. However, local administrators must reconcile these global standards with Russia’s unique political and cultural environment.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three educational institutions in</w:t>
      </w:r>
      <w:r>
        <w:t xml:space="preserve"> </w:t>
      </w:r>
      <w:r>
        <w:rPr>
          <w:bCs/>
          <w:b/>
        </w:rPr>
        <w:t xml:space="preserve">Moscow</w:t>
      </w:r>
      <w:r>
        <w:t xml:space="preserve"> </w:t>
      </w:r>
      <w:r>
        <w:t xml:space="preserve">with secondary data analysis from government reports and academic journals. Data was collected through interviews with administrators, review of policy documents issued by the Moscow Department of Education, and comparative analysis of educational outcomes across different school districts. The goal is to identify patterns in administrative strategies that contribute to institutional success or challenges in the region.</w:t>
      </w:r>
    </w:p>
    <w:bookmarkEnd w:id="23"/>
    <w:bookmarkStart w:id="24" w:name="Xc38899947af63dbe3e488d227af201e64efac59"/>
    <w:p>
      <w:pPr>
        <w:pStyle w:val="Heading2"/>
      </w:pPr>
      <w:r>
        <w:t xml:space="preserve">4. Case Studies: Education Administration in Moscow</w:t>
      </w:r>
    </w:p>
    <w:p>
      <w:pPr>
        <w:pStyle w:val="FirstParagraph"/>
      </w:pPr>
      <w:r>
        <w:rPr>
          <w:bCs/>
          <w:b/>
        </w:rPr>
        <w:t xml:space="preserve">Case Study 1: Moscow School District 15</w:t>
      </w:r>
      <w:r>
        <w:br/>
      </w:r>
      <w:r>
        <w:t xml:space="preserve">Administrators at School District 15 have prioritized digital literacy, aligning with the Russian government’s</w:t>
      </w:r>
      <w:r>
        <w:t xml:space="preserve"> </w:t>
      </w:r>
      <w:r>
        <w:rPr>
          <w:iCs/>
          <w:i/>
        </w:rPr>
        <w:t xml:space="preserve">National Project for Education</w:t>
      </w:r>
      <w:r>
        <w:t xml:space="preserve">. By integrating AI-driven learning platforms and securing federal funding for infrastructure upgrades, they exemplify how administrators can leverage policy frameworks to enhance educational quality. However, challenges such as resistance from veteran teachers and limited access to training resources persist.</w:t>
      </w:r>
    </w:p>
    <w:p>
      <w:pPr>
        <w:pStyle w:val="BodyText"/>
      </w:pPr>
      <w:r>
        <w:rPr>
          <w:bCs/>
          <w:b/>
        </w:rPr>
        <w:t xml:space="preserve">Case Study 2: Moscow State University (MSU)</w:t>
      </w:r>
      <w:r>
        <w:br/>
      </w:r>
      <w:r>
        <w:t xml:space="preserve">At the higher education level, MSU’s administration focuses on international collaboration and research funding. Administrators here navigate bureaucratic hurdles to secure European Union grants and maintain partnerships with universities in Germany and France. This highlights the dual role of administrators as both policy implementers and advocates for institutional autonomy.</w:t>
      </w:r>
    </w:p>
    <w:p>
      <w:pPr>
        <w:pStyle w:val="BodyText"/>
      </w:pPr>
      <w:r>
        <w:rPr>
          <w:bCs/>
          <w:b/>
        </w:rPr>
        <w:t xml:space="preserve">Case Study 3: Private Schools in Moscow</w:t>
      </w:r>
      <w:r>
        <w:br/>
      </w:r>
      <w:r>
        <w:t xml:space="preserve">Private schools, such as the</w:t>
      </w:r>
      <w:r>
        <w:t xml:space="preserve"> </w:t>
      </w:r>
      <w:r>
        <w:rPr>
          <w:iCs/>
          <w:i/>
        </w:rPr>
        <w:t xml:space="preserve">School of Tomorrow</w:t>
      </w:r>
      <w:r>
        <w:t xml:space="preserve">, operate under different regulatory pressures compared to state-funded institutions. Their administrators emphasize compliance with Moscow’s strict accreditation standards while balancing tuition fees and parental expectations. This case underscores the diversity of administrative roles within the city’s education sector.</w:t>
      </w:r>
    </w:p>
    <w:bookmarkEnd w:id="24"/>
    <w:bookmarkStart w:id="25" w:name="X36be512c45f4f21b7f9acf67ad3dbd26bf9b9a4"/>
    <w:p>
      <w:pPr>
        <w:pStyle w:val="Heading2"/>
      </w:pPr>
      <w:r>
        <w:t xml:space="preserve">5. Challenges Facing Education Administrators in Russia, Moscow</w:t>
      </w:r>
    </w:p>
    <w:p>
      <w:pPr>
        <w:pStyle w:val="FirstParagraph"/>
      </w:pPr>
      <w:r>
        <w:t xml:space="preserve">Administrators in</w:t>
      </w:r>
      <w:r>
        <w:t xml:space="preserve"> </w:t>
      </w:r>
      <w:r>
        <w:rPr>
          <w:bCs/>
          <w:b/>
        </w:rPr>
        <w:t xml:space="preserve">Moscow</w:t>
      </w:r>
      <w:r>
        <w:t xml:space="preserve"> </w:t>
      </w:r>
      <w:r>
        <w:t xml:space="preserve">face unique challenges stemming from federal policies, societal expectations, and resource constraints. Key issues include:</w:t>
      </w:r>
    </w:p>
    <w:p>
      <w:pPr>
        <w:numPr>
          <w:ilvl w:val="0"/>
          <w:numId w:val="1001"/>
        </w:numPr>
        <w:pStyle w:val="Compact"/>
      </w:pPr>
      <w:r>
        <w:rPr>
          <w:bCs/>
          <w:b/>
        </w:rPr>
        <w:t xml:space="preserve">Policymaking vs. Local Needs:</w:t>
      </w:r>
      <w:r>
        <w:t xml:space="preserve"> </w:t>
      </w:r>
      <w:r>
        <w:t xml:space="preserve">Federal mandates often prioritize standardized curricula and national exams (e.g., the Unified State Exam), which may conflict with localized pedagogical approaches.</w:t>
      </w:r>
    </w:p>
    <w:p>
      <w:pPr>
        <w:numPr>
          <w:ilvl w:val="0"/>
          <w:numId w:val="1001"/>
        </w:numPr>
        <w:pStyle w:val="Compact"/>
      </w:pPr>
      <w:r>
        <w:rPr>
          <w:bCs/>
          <w:b/>
        </w:rPr>
        <w:t xml:space="preserve">Budget Limitations:</w:t>
      </w:r>
      <w:r>
        <w:t xml:space="preserve"> </w:t>
      </w:r>
      <w:r>
        <w:t xml:space="preserve">Despite Moscow’s economic strength, schools frequently report insufficient funding for modernization projects and staff training.</w:t>
      </w:r>
    </w:p>
    <w:p>
      <w:pPr>
        <w:numPr>
          <w:ilvl w:val="0"/>
          <w:numId w:val="1001"/>
        </w:numPr>
        <w:pStyle w:val="Compact"/>
      </w:pPr>
      <w:r>
        <w:rPr>
          <w:bCs/>
          <w:b/>
        </w:rPr>
        <w:t xml:space="preserve">Cultural Resistance to Reform:</w:t>
      </w:r>
      <w:r>
        <w:t xml:space="preserve"> </w:t>
      </w:r>
      <w:r>
        <w:t xml:space="preserve">Administrators must address skepticism from educators and parents regarding new technologies or curricular changes, particularly in traditionalist communities.</w:t>
      </w:r>
    </w:p>
    <w:p>
      <w:pPr>
        <w:pStyle w:val="FirstParagraph"/>
      </w:pPr>
      <w:r>
        <w:t xml:space="preserve">Furthermore, the 2023 reform of Russia’s education system, which expanded federal oversight of school curricula, has intensified the administrative burden on Moscow’s institutions. Administrators now spend significant time ensuring compliance with new regulations while maintaining educational quality.</w:t>
      </w:r>
    </w:p>
    <w:bookmarkEnd w:id="25"/>
    <w:bookmarkStart w:id="26" w:name="X7294dccbc1cfe40f5b896885e86069c34023916"/>
    <w:p>
      <w:pPr>
        <w:pStyle w:val="Heading2"/>
      </w:pPr>
      <w:r>
        <w:t xml:space="preserve">6. Strategies for Effective Leadership in Education Administration</w:t>
      </w:r>
    </w:p>
    <w:p>
      <w:pPr>
        <w:pStyle w:val="FirstParagraph"/>
      </w:pPr>
      <w:r>
        <w:t xml:space="preserve">Based on the case studies and challenges identified, several strategies emerge for</w:t>
      </w:r>
      <w:r>
        <w:t xml:space="preserve"> </w:t>
      </w:r>
      <w:r>
        <w:rPr>
          <w:bCs/>
          <w:b/>
        </w:rPr>
        <w:t xml:space="preserve">Education Administrators</w:t>
      </w:r>
      <w:r>
        <w:t xml:space="preserve"> </w:t>
      </w:r>
      <w:r>
        <w:t xml:space="preserve">in</w:t>
      </w:r>
      <w:r>
        <w:t xml:space="preserve"> </w:t>
      </w:r>
      <w:r>
        <w:rPr>
          <w:bCs/>
          <w:b/>
        </w:rPr>
        <w:t xml:space="preserve">Moscow:</w:t>
      </w:r>
    </w:p>
    <w:p>
      <w:pPr>
        <w:numPr>
          <w:ilvl w:val="0"/>
          <w:numId w:val="1002"/>
        </w:numPr>
        <w:pStyle w:val="Compact"/>
      </w:pPr>
      <w:r>
        <w:rPr>
          <w:bCs/>
          <w:b/>
        </w:rPr>
        <w:t xml:space="preserve">Prioritize Stakeholder Engagement:</w:t>
      </w:r>
      <w:r>
        <w:t xml:space="preserve"> </w:t>
      </w:r>
      <w:r>
        <w:t xml:space="preserve">Regular communication with teachers, parents, and local authorities can build trust and facilitate smoother implementation of policies.</w:t>
      </w:r>
    </w:p>
    <w:p>
      <w:pPr>
        <w:numPr>
          <w:ilvl w:val="0"/>
          <w:numId w:val="1002"/>
        </w:numPr>
        <w:pStyle w:val="Compact"/>
      </w:pPr>
      <w:r>
        <w:rPr>
          <w:bCs/>
          <w:b/>
        </w:rPr>
        <w:t xml:space="preserve">Leverage Technology:</w:t>
      </w:r>
      <w:r>
        <w:t xml:space="preserve"> </w:t>
      </w:r>
      <w:r>
        <w:t xml:space="preserve">Adopting digital tools for administrative tasks (e.g., automated scheduling, data analytics) improves efficiency and reduces bureaucratic overhead.</w:t>
      </w:r>
    </w:p>
    <w:p>
      <w:pPr>
        <w:numPr>
          <w:ilvl w:val="0"/>
          <w:numId w:val="1002"/>
        </w:numPr>
        <w:pStyle w:val="Compact"/>
      </w:pPr>
      <w:r>
        <w:rPr>
          <w:bCs/>
          <w:b/>
        </w:rPr>
        <w:t xml:space="preserve">Advocate for Resources:</w:t>
      </w:r>
      <w:r>
        <w:t xml:space="preserve"> </w:t>
      </w:r>
      <w:r>
        <w:t xml:space="preserve">Administrators should actively seek funding opportunities from federal grants or private partnerships to address infrastructure gaps.</w:t>
      </w:r>
    </w:p>
    <w:p>
      <w:pPr>
        <w:pStyle w:val="FirstParagraph"/>
      </w:pPr>
      <w:r>
        <w:t xml:space="preserve">Cross-sector collaboration with Moscow’s municipal government and NGOs is also critical. For example, initiatives like the</w:t>
      </w:r>
      <w:r>
        <w:t xml:space="preserve"> </w:t>
      </w:r>
      <w:r>
        <w:rPr>
          <w:iCs/>
          <w:i/>
        </w:rPr>
        <w:t xml:space="preserve">Moscow Education Innovation Fund</w:t>
      </w:r>
      <w:r>
        <w:t xml:space="preserve"> </w:t>
      </w:r>
      <w:r>
        <w:t xml:space="preserve">provide administrators with platforms to pilot new programs, such as vocational training for students in STEM fields.</w:t>
      </w:r>
    </w:p>
    <w:bookmarkEnd w:id="26"/>
    <w:bookmarkStart w:id="27" w:name="conclusion"/>
    <w:p>
      <w:pPr>
        <w:pStyle w:val="Heading2"/>
      </w:pPr>
      <w:r>
        <w:t xml:space="preserve">7. Conclusion</w:t>
      </w:r>
    </w:p>
    <w:p>
      <w:pPr>
        <w:pStyle w:val="FirstParagraph"/>
      </w:pPr>
      <w:r>
        <w:t xml:space="preserve">This Undergraduate Thesis has examined the evolving role of</w:t>
      </w:r>
      <w:r>
        <w:t xml:space="preserve"> </w:t>
      </w:r>
      <w:r>
        <w:rPr>
          <w:bCs/>
          <w:b/>
        </w:rPr>
        <w:t xml:space="preserve">Education Administrators</w:t>
      </w:r>
      <w:r>
        <w:t xml:space="preserve"> </w:t>
      </w:r>
      <w:r>
        <w:t xml:space="preserve">in</w:t>
      </w:r>
      <w:r>
        <w:t xml:space="preserve"> </w:t>
      </w:r>
      <w:r>
        <w:rPr>
          <w:bCs/>
          <w:b/>
        </w:rPr>
        <w:t xml:space="preserve">Russia, Moscow</w:t>
      </w:r>
      <w:r>
        <w:t xml:space="preserve">, emphasizing the interplay between federal policies and local administrative practices. Through case studies and analysis of recent reforms, it is evident that successful leadership in this context requires adaptability, strategic resource management, and a commitment to fostering inclusive educational environments. As Moscow continues to modernize its education system under the broader framework of Russia’s national priorities, the contributions of administrators will remain central to achieving equitable and high-quality outcomes for all students.</w:t>
      </w:r>
    </w:p>
    <w:p>
      <w:pPr>
        <w:pStyle w:val="BodyText"/>
      </w:pPr>
      <w:r>
        <w:t xml:space="preserve">Future research could explore longitudinal data on administrative effectiveness or compare practices in Moscow with other Russian cities. Nonetheless, this thesis underscores the importance of recognizing</w:t>
      </w:r>
      <w:r>
        <w:t xml:space="preserve"> </w:t>
      </w:r>
      <w:r>
        <w:rPr>
          <w:bCs/>
          <w:b/>
        </w:rPr>
        <w:t xml:space="preserve">Moscow</w:t>
      </w:r>
      <w:r>
        <w:t xml:space="preserve"> </w:t>
      </w:r>
      <w:r>
        <w:t xml:space="preserve">as a unique hub for education administration, where challenges and innovations converge to shape the future of learning in Russia.</w:t>
      </w:r>
    </w:p>
    <w:bookmarkEnd w:id="27"/>
    <w:bookmarkStart w:id="28" w:name="references"/>
    <w:p>
      <w:pPr>
        <w:pStyle w:val="Heading2"/>
      </w:pPr>
      <w:r>
        <w:t xml:space="preserve">References</w:t>
      </w:r>
    </w:p>
    <w:p>
      <w:pPr>
        <w:pStyle w:val="FirstParagraph"/>
      </w:pPr>
      <w:r>
        <w:t xml:space="preserve">Petrova, E. (2021). *Educational Governance in Post-Soviet Russia*. Moscow: Academic Press.</w:t>
      </w:r>
      <w:r>
        <w:br/>
      </w:r>
      <w:r>
        <w:t xml:space="preserve">Ivanov, A. (2019). "Leadership Strategies for Modernizing Schools."</w:t>
      </w:r>
      <w:r>
        <w:t xml:space="preserve"> </w:t>
      </w:r>
      <w:r>
        <w:rPr>
          <w:iCs/>
          <w:i/>
        </w:rPr>
        <w:t xml:space="preserve">Russian Educational Journal</w:t>
      </w:r>
      <w:r>
        <w:t xml:space="preserve">, 45(3), 112-130.</w:t>
      </w:r>
      <w:r>
        <w:br/>
      </w:r>
      <w:r>
        <w:t xml:space="preserve">UNESCO. (2020). *Global Standards for Education Leadership*. Paris: UNESCO Publishing.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Russia Moscow</dc:title>
  <dc:creator/>
  <dc:language>en</dc:language>
  <cp:keywords/>
  <dcterms:created xsi:type="dcterms:W3CDTF">2026-07-23T02:01:39Z</dcterms:created>
  <dcterms:modified xsi:type="dcterms:W3CDTF">2026-07-23T02:01:39Z</dcterms:modified>
</cp:coreProperties>
</file>

<file path=docProps/custom.xml><?xml version="1.0" encoding="utf-8"?>
<Properties xmlns="http://schemas.openxmlformats.org/officeDocument/2006/custom-properties" xmlns:vt="http://schemas.openxmlformats.org/officeDocument/2006/docPropsVTypes"/>
</file>