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31158b84a7b4f334162c97f5c034250f5240f61"/>
    <w:p>
      <w:pPr>
        <w:pStyle w:val="Heading1"/>
      </w:pPr>
      <w:r>
        <w:t xml:space="preserve">Undergraduate Thesis: The Role of Education Administrators in the United Arab Emirates Dubai</w:t>
      </w:r>
    </w:p>
    <w:bookmarkStart w:id="20" w:name="by-your-full-name"/>
    <w:p>
      <w:pPr>
        <w:pStyle w:val="Heading2"/>
      </w:pPr>
      <w:r>
        <w:t xml:space="preserve">By [Your Full Name]</w:t>
      </w:r>
    </w:p>
    <w:bookmarkEnd w:id="20"/>
    <w:bookmarkStart w:id="21" w:name="Xbace5f066ef2e97baad87bab47ef5c8f5740243"/>
    <w:p>
      <w:pPr>
        <w:pStyle w:val="Heading2"/>
      </w:pPr>
      <w:r>
        <w:t xml:space="preserve">[University Name], Dubai, United Arab Emirates</w:t>
      </w:r>
    </w:p>
    <w:bookmarkEnd w:id="21"/>
    <w:bookmarkStart w:id="22" w:name="date-insert-date"/>
    <w:p>
      <w:pPr>
        <w:pStyle w:val="Heading2"/>
      </w:pPr>
      <w:r>
        <w:t xml:space="preserve">Date: [Insert Date]</w:t>
      </w:r>
    </w:p>
    <w:p>
      <w:pPr>
        <w:pStyle w:val="FirstParagraph"/>
      </w:pPr>
      <w:r>
        <w:rPr>
          <w:iCs/>
          <w:i/>
          <w:bCs/>
          <w:b/>
        </w:rPr>
        <w:t xml:space="preserve">This Undergraduate Thesis explores the critical role of Education Administrators in shaping the educational landscape of the United Arab Emirates, specifically in Dubai. It examines their responsibilities, challenges, and contributions to achieving national and institutional goals within a rapidly evolving socio-cultural context.</w:t>
      </w:r>
    </w:p>
    <w:bookmarkEnd w:id="22"/>
    <w:bookmarkStart w:id="23" w:name="abstract"/>
    <w:p>
      <w:pPr>
        <w:pStyle w:val="Heading2"/>
      </w:pPr>
      <w:r>
        <w:t xml:space="preserve">Abstract</w:t>
      </w:r>
    </w:p>
    <w:p>
      <w:pPr>
        <w:pStyle w:val="FirstParagraph"/>
      </w:pPr>
      <w:r>
        <w:t xml:space="preserve">The United Arab Emirates (UAE), particularly Dubai, has emerged as a global hub for education, driven by its ambitious vision of becoming a knowledge-based economy. This Undergraduate Thesis investigates the multifaceted responsibilities of Education Administrators in Dubai’s schools and institutions. Through an analysis of their leadership roles, strategic planning efforts, and adaptation to multicultural environments, this study highlights how these professionals navigate the unique demands of Dubai’s education system. It also addresses challenges such as aligning international curricula with local standards and fostering equity in diverse student populations. The findings emphasize the significance of Education Administrators in ensuring educational excellence while contributing to Dubai’s broader goals under Vision 2021 and beyond.</w:t>
      </w:r>
    </w:p>
    <w:bookmarkEnd w:id="23"/>
    <w:bookmarkStart w:id="24" w:name="introduction"/>
    <w:p>
      <w:pPr>
        <w:pStyle w:val="Heading2"/>
      </w:pPr>
      <w:r>
        <w:t xml:space="preserve">Introduction</w:t>
      </w:r>
    </w:p>
    <w:p>
      <w:pPr>
        <w:pStyle w:val="FirstParagraph"/>
      </w:pPr>
      <w:r>
        <w:t xml:space="preserve">The United Arab Emirates (UAE) has undergone significant transformation over the past few decades, with Dubai serving as a prime example of this progress. As a city that attracts global talent, investment, and students, Dubai’s education system must cater to a multicultural and multilingual population. At the heart of this system are Education Administrators—visionary leaders who oversee curriculum development, staff management, resource allocation, and policy implementation. This Undergraduate Thesis delves into their critical role in shaping Dubai’s educational landscape and how their strategies align with national objectives.</w:t>
      </w:r>
    </w:p>
    <w:bookmarkEnd w:id="24"/>
    <w:bookmarkStart w:id="25" w:name="X3d77af6df8f72c2da3b738fbc274fb8b5fdeaa7"/>
    <w:p>
      <w:pPr>
        <w:pStyle w:val="Heading2"/>
      </w:pPr>
      <w:r>
        <w:t xml:space="preserve">The Role of Education Administrators in Dubai</w:t>
      </w:r>
    </w:p>
    <w:p>
      <w:pPr>
        <w:pStyle w:val="FirstParagraph"/>
      </w:pPr>
      <w:r>
        <w:t xml:space="preserve">Education Administrators in the United Arab Emirates Dubai operate within a dynamic environment that requires them to balance traditional values with modern pedagogical approaches. Their responsibilities include:</w:t>
      </w:r>
    </w:p>
    <w:p>
      <w:pPr>
        <w:numPr>
          <w:ilvl w:val="0"/>
          <w:numId w:val="1001"/>
        </w:numPr>
        <w:pStyle w:val="Compact"/>
      </w:pPr>
      <w:r>
        <w:rPr>
          <w:bCs/>
          <w:b/>
        </w:rPr>
        <w:t xml:space="preserve">Strategic Leadership:</w:t>
      </w:r>
      <w:r>
        <w:t xml:space="preserve"> </w:t>
      </w:r>
      <w:r>
        <w:t xml:space="preserve">Developing long-term educational plans that align with UAE Vision 2021 and Dubai’s ambition to become a global education leader.</w:t>
      </w:r>
    </w:p>
    <w:p>
      <w:pPr>
        <w:numPr>
          <w:ilvl w:val="0"/>
          <w:numId w:val="1001"/>
        </w:numPr>
        <w:pStyle w:val="Compact"/>
      </w:pPr>
      <w:r>
        <w:rPr>
          <w:bCs/>
          <w:b/>
        </w:rPr>
        <w:t xml:space="preserve">Cultural Integration:</w:t>
      </w:r>
      <w:r>
        <w:t xml:space="preserve"> </w:t>
      </w:r>
      <w:r>
        <w:t xml:space="preserve">Managing the challenges of diverse student populations, including Emirati nationals, expatriates, and international students.</w:t>
      </w:r>
    </w:p>
    <w:p>
      <w:pPr>
        <w:numPr>
          <w:ilvl w:val="0"/>
          <w:numId w:val="1001"/>
        </w:numPr>
        <w:pStyle w:val="Compact"/>
      </w:pPr>
      <w:r>
        <w:rPr>
          <w:bCs/>
          <w:b/>
        </w:rPr>
        <w:t xml:space="preserve">Curriculum Innovation:</w:t>
      </w:r>
      <w:r>
        <w:t xml:space="preserve"> </w:t>
      </w:r>
      <w:r>
        <w:t xml:space="preserve">Ensuring alignment with international standards such as the International Baccalaureate (IB) program while respecting local cultural norms.</w:t>
      </w:r>
    </w:p>
    <w:p>
      <w:pPr>
        <w:numPr>
          <w:ilvl w:val="0"/>
          <w:numId w:val="1001"/>
        </w:numPr>
        <w:pStyle w:val="Compact"/>
      </w:pPr>
      <w:r>
        <w:rPr>
          <w:bCs/>
          <w:b/>
        </w:rPr>
        <w:t xml:space="preserve">Crisis Management:</w:t>
      </w:r>
      <w:r>
        <w:t xml:space="preserve"> </w:t>
      </w:r>
      <w:r>
        <w:t xml:space="preserve">Addressing issues like pandemic disruptions, technological integration, and equity in access to education.</w:t>
      </w:r>
    </w:p>
    <w:p>
      <w:pPr>
        <w:pStyle w:val="FirstParagraph"/>
      </w:pPr>
      <w:r>
        <w:t xml:space="preserve">Dubai’s Education Administrators must also collaborate with the Ministry of Education and private institutions to maintain high academic standards while fostering a sense of community among stakeholders.</w:t>
      </w:r>
    </w:p>
    <w:bookmarkEnd w:id="25"/>
    <w:bookmarkStart w:id="26" w:name="X662f1f8186f75835779fee00618c53e4f67f46e"/>
    <w:p>
      <w:pPr>
        <w:pStyle w:val="Heading2"/>
      </w:pPr>
      <w:r>
        <w:t xml:space="preserve">Challenges Faced by Education Administrators in Dubai</w:t>
      </w:r>
    </w:p>
    <w:p>
      <w:pPr>
        <w:pStyle w:val="FirstParagraph"/>
      </w:pPr>
      <w:r>
        <w:t xml:space="preserve">The unique socio-political context of Dubai presents several challenges for Education Administrators:</w:t>
      </w:r>
    </w:p>
    <w:p>
      <w:pPr>
        <w:numPr>
          <w:ilvl w:val="0"/>
          <w:numId w:val="1002"/>
        </w:numPr>
        <w:pStyle w:val="Compact"/>
      </w:pPr>
      <w:r>
        <w:rPr>
          <w:bCs/>
          <w:b/>
        </w:rPr>
        <w:t xml:space="preserve">Cultural Sensitivity:</w:t>
      </w:r>
      <w:r>
        <w:t xml:space="preserve"> </w:t>
      </w:r>
      <w:r>
        <w:t xml:space="preserve">Balancing Islamic values with global educational trends, such as inclusive education and gender equality.</w:t>
      </w:r>
    </w:p>
    <w:p>
      <w:pPr>
        <w:numPr>
          <w:ilvl w:val="0"/>
          <w:numId w:val="1002"/>
        </w:numPr>
        <w:pStyle w:val="Compact"/>
      </w:pPr>
      <w:r>
        <w:rPr>
          <w:bCs/>
          <w:b/>
        </w:rPr>
        <w:t xml:space="preserve">Resource Allocation:</w:t>
      </w:r>
      <w:r>
        <w:t xml:space="preserve"> </w:t>
      </w:r>
      <w:r>
        <w:t xml:space="preserve">Ensuring equitable distribution of resources in both public and private schools, especially amid rapid urbanization.</w:t>
      </w:r>
    </w:p>
    <w:p>
      <w:pPr>
        <w:numPr>
          <w:ilvl w:val="0"/>
          <w:numId w:val="1002"/>
        </w:numPr>
        <w:pStyle w:val="Compact"/>
      </w:pPr>
      <w:r>
        <w:rPr>
          <w:bCs/>
          <w:b/>
        </w:rPr>
        <w:t xml:space="preserve">Diversity Management:</w:t>
      </w:r>
      <w:r>
        <w:t xml:space="preserve"> </w:t>
      </w:r>
      <w:r>
        <w:t xml:space="preserve">Addressing language barriers, cultural conflicts, and varying academic expectations among students from 180+ nationalities.</w:t>
      </w:r>
    </w:p>
    <w:p>
      <w:pPr>
        <w:numPr>
          <w:ilvl w:val="0"/>
          <w:numId w:val="1002"/>
        </w:numPr>
        <w:pStyle w:val="Compact"/>
      </w:pPr>
      <w:r>
        <w:rPr>
          <w:bCs/>
          <w:b/>
        </w:rPr>
        <w:t xml:space="preserve">Tech-Driven Education:</w:t>
      </w:r>
      <w:r>
        <w:t xml:space="preserve"> </w:t>
      </w:r>
      <w:r>
        <w:t xml:space="preserve">Adapting to the increasing demand for digital learning tools and EdTech solutions while maintaining pedagogical quality.</w:t>
      </w:r>
    </w:p>
    <w:bookmarkEnd w:id="26"/>
    <w:bookmarkStart w:id="27" w:name="X3711b2576224bd3c9a125dfc396f87721c5582c"/>
    <w:p>
      <w:pPr>
        <w:pStyle w:val="Heading2"/>
      </w:pPr>
      <w:r>
        <w:t xml:space="preserve">The Impact of Vision 2021 on Education Administration</w:t>
      </w:r>
    </w:p>
    <w:p>
      <w:pPr>
        <w:pStyle w:val="FirstParagraph"/>
      </w:pPr>
      <w:r>
        <w:t xml:space="preserve">Dubai’s Vision 2021 emphasizes the importance of education in building a sustainable, knowledge-based society. Education Administrators play a pivotal role in translating this vision into actionable strategies. For instance, initiatives like the Dubai Knowledge and Innovation Park (DKIP) and the establishment of world-class institutions such as Dubai International Academy (DIA) highlight how administrators are instrumental in fostering innovation and global competitiveness.</w:t>
      </w:r>
    </w:p>
    <w:p>
      <w:pPr>
        <w:pStyle w:val="BodyText"/>
      </w:pPr>
      <w:r>
        <w:t xml:space="preserve">Furthermore, the UAE’s focus on STEM education, Arabic language preservation, and community engagement requires Education Administrators to act as bridges between policy frameworks and grassroots implementation.</w:t>
      </w:r>
    </w:p>
    <w:bookmarkEnd w:id="27"/>
    <w:bookmarkStart w:id="28" w:name="cases-of-effective-leadership"/>
    <w:p>
      <w:pPr>
        <w:pStyle w:val="Heading2"/>
      </w:pPr>
      <w:r>
        <w:t xml:space="preserve">Cases of Effective Leadership</w:t>
      </w:r>
    </w:p>
    <w:p>
      <w:pPr>
        <w:pStyle w:val="FirstParagraph"/>
      </w:pPr>
      <w:r>
        <w:t xml:space="preserve">This Undergraduate Thesis examines case studies of successful Education Administrators in Dubai. For example:</w:t>
      </w:r>
    </w:p>
    <w:p>
      <w:pPr>
        <w:numPr>
          <w:ilvl w:val="0"/>
          <w:numId w:val="1003"/>
        </w:numPr>
        <w:pStyle w:val="Compact"/>
      </w:pPr>
      <w:r>
        <w:rPr>
          <w:bCs/>
          <w:b/>
        </w:rPr>
        <w:t xml:space="preserve">Dubai Public Schools:</w:t>
      </w:r>
      <w:r>
        <w:t xml:space="preserve"> </w:t>
      </w:r>
      <w:r>
        <w:t xml:space="preserve">Administrators here have successfully integrated Arabic language instruction with English-medium curricula, ensuring bilingual proficiency among students.</w:t>
      </w:r>
    </w:p>
    <w:p>
      <w:pPr>
        <w:numPr>
          <w:ilvl w:val="0"/>
          <w:numId w:val="1003"/>
        </w:numPr>
        <w:pStyle w:val="Compact"/>
      </w:pPr>
      <w:r>
        <w:rPr>
          <w:bCs/>
          <w:b/>
        </w:rPr>
        <w:t xml:space="preserve">Khan Academy’s Partnerships:</w:t>
      </w:r>
      <w:r>
        <w:t xml:space="preserve"> </w:t>
      </w:r>
      <w:r>
        <w:t xml:space="preserve">Private schools in Dubai have collaborated with global organizations to enhance teacher training and curriculum flexibility.</w:t>
      </w:r>
    </w:p>
    <w:bookmarkEnd w:id="28"/>
    <w:bookmarkStart w:id="29" w:name="recommendations-for-future-practices"/>
    <w:p>
      <w:pPr>
        <w:pStyle w:val="Heading2"/>
      </w:pPr>
      <w:r>
        <w:t xml:space="preserve">Recommendations for Future Practices</w:t>
      </w:r>
    </w:p>
    <w:p>
      <w:pPr>
        <w:pStyle w:val="FirstParagraph"/>
      </w:pPr>
      <w:r>
        <w:t xml:space="preserve">To address existing challenges, this study recommends the following for Education Administrators in the United Arab Emirates Dubai:</w:t>
      </w:r>
    </w:p>
    <w:p>
      <w:pPr>
        <w:numPr>
          <w:ilvl w:val="0"/>
          <w:numId w:val="1004"/>
        </w:numPr>
        <w:pStyle w:val="Compact"/>
      </w:pPr>
      <w:r>
        <w:rPr>
          <w:bCs/>
          <w:b/>
        </w:rPr>
        <w:t xml:space="preserve">Promote Professional Development:</w:t>
      </w:r>
      <w:r>
        <w:t xml:space="preserve"> </w:t>
      </w:r>
      <w:r>
        <w:t xml:space="preserve">Regular training programs on cultural competence, EdTech tools, and inclusive education.</w:t>
      </w:r>
    </w:p>
    <w:p>
      <w:pPr>
        <w:numPr>
          <w:ilvl w:val="0"/>
          <w:numId w:val="1004"/>
        </w:numPr>
        <w:pStyle w:val="Compact"/>
      </w:pPr>
      <w:r>
        <w:rPr>
          <w:bCs/>
          <w:b/>
        </w:rPr>
        <w:t xml:space="preserve">Strengthen Community Engagement:</w:t>
      </w:r>
      <w:r>
        <w:t xml:space="preserve"> </w:t>
      </w:r>
      <w:r>
        <w:t xml:space="preserve">Involving parents and local communities in decision-making processes to build trust and transparency.</w:t>
      </w:r>
    </w:p>
    <w:p>
      <w:pPr>
        <w:numPr>
          <w:ilvl w:val="0"/>
          <w:numId w:val="1004"/>
        </w:numPr>
        <w:pStyle w:val="Compact"/>
      </w:pPr>
      <w:r>
        <w:rPr>
          <w:bCs/>
          <w:b/>
        </w:rPr>
        <w:t xml:space="preserve">Leverage Technology:</w:t>
      </w:r>
      <w:r>
        <w:t xml:space="preserve"> </w:t>
      </w:r>
      <w:r>
        <w:t xml:space="preserve">Investing in AI-driven platforms for personalized learning and data analytics to improve student outcomes.</w:t>
      </w:r>
    </w:p>
    <w:bookmarkEnd w:id="29"/>
    <w:bookmarkStart w:id="30" w:name="conclusion"/>
    <w:p>
      <w:pPr>
        <w:pStyle w:val="Heading2"/>
      </w:pPr>
      <w:r>
        <w:t xml:space="preserve">Conclusion</w:t>
      </w:r>
    </w:p>
    <w:p>
      <w:pPr>
        <w:pStyle w:val="FirstParagraph"/>
      </w:pPr>
      <w:r>
        <w:t xml:space="preserve">In conclusion, Education Administrators are the backbone of Dubai’s educational success, navigating complex challenges while driving innovation and inclusivity. As the United Arab Emirates continues to evolve, their role will become even more critical in achieving national goals and global recognition. This Undergraduate Thesis underscores the importance of recognizing their contributions and equipping them with tools to lead effectively in an ever-changing world.</w:t>
      </w:r>
    </w:p>
    <w:bookmarkEnd w:id="30"/>
    <w:bookmarkStart w:id="31" w:name="references"/>
    <w:p>
      <w:pPr>
        <w:pStyle w:val="Heading2"/>
      </w:pPr>
      <w:r>
        <w:t xml:space="preserve">References</w:t>
      </w:r>
    </w:p>
    <w:p>
      <w:pPr>
        <w:pStyle w:val="FirstParagraph"/>
      </w:pPr>
      <w:r>
        <w:t xml:space="preserve">[Include academic sources, government publications, and case studies related to education administration in Dubai.]</w:t>
      </w:r>
    </w:p>
    <w:p>
      <w:pPr>
        <w:pStyle w:val="BodyText"/>
      </w:pPr>
      <w:r>
        <w:rPr>
          <w:iCs/>
          <w:i/>
        </w:rPr>
        <w:t xml:space="preserve">Note: This document is a sample structure for an Undergraduate Thesis. Replace bracketed content with specific data, citations, or institutional details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the United Arab Emirates Dubai</dc:title>
  <dc:creator/>
  <dc:language>en</dc:language>
  <cp:keywords/>
  <dcterms:created xsi:type="dcterms:W3CDTF">2026-07-21T05:49:37Z</dcterms:created>
  <dcterms:modified xsi:type="dcterms:W3CDTF">2026-07-21T05:49:37Z</dcterms:modified>
</cp:coreProperties>
</file>

<file path=docProps/custom.xml><?xml version="1.0" encoding="utf-8"?>
<Properties xmlns="http://schemas.openxmlformats.org/officeDocument/2006/custom-properties" xmlns:vt="http://schemas.openxmlformats.org/officeDocument/2006/docPropsVTypes"/>
</file>