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c798b7c919df1f5ecccc32979851045abfe7c41"/>
    <w:p>
      <w:pPr>
        <w:pStyle w:val="Heading1"/>
      </w:pPr>
      <w:r>
        <w:t xml:space="preserve">The Role of the Judge in Canadian Criminal Justice: A Focus on Vancouver</w:t>
      </w:r>
    </w:p>
    <w:bookmarkStart w:id="20" w:name="abstract"/>
    <w:p>
      <w:pPr>
        <w:pStyle w:val="Heading2"/>
      </w:pPr>
      <w:r>
        <w:t xml:space="preserve">Abstract</w:t>
      </w:r>
    </w:p>
    <w:p>
      <w:pPr>
        <w:pStyle w:val="FirstParagraph"/>
      </w:pPr>
      <w:r>
        <w:t xml:space="preserve">This undergraduate thesis explores the multifaceted role of judges within Canada’s legal system, with a specific focus on Vancouver. It examines how judicial functions in British Columbia align with national constitutional principles while addressing unique local challenges. By analyzing case law, legal frameworks, and socio-cultural dynamics in Vancouver, this study highlights the significance of judicial independence and accountability in maintaining public trust. The research underscores the necessity of adapting legal practices to reflect the diverse needs of a globalized urban center like Vancouver.</w:t>
      </w:r>
    </w:p>
    <w:bookmarkEnd w:id="20"/>
    <w:bookmarkStart w:id="21" w:name="introduction"/>
    <w:p>
      <w:pPr>
        <w:pStyle w:val="Heading2"/>
      </w:pPr>
      <w:r>
        <w:t xml:space="preserve">Introduction</w:t>
      </w:r>
    </w:p>
    <w:p>
      <w:pPr>
        <w:pStyle w:val="FirstParagraph"/>
      </w:pPr>
      <w:r>
        <w:t xml:space="preserve">Judges are pivotal figures in Canada’s common law system, tasked with interpreting statutes, adjudicating disputes, and ensuring justice is administered impartially. In Vancouver—a city renowned for its cultural diversity, economic dynamism, and legal complexity—the judiciary faces distinct challenges that shape the interpretation of Canadian law. This thesis investigates how judges in Vancouver navigate these complexities while adhering to national legal standards. It argues that understanding the role of a judge in this specific geographic and social context is critical for fostering equitable justice systems across Canada.</w:t>
      </w:r>
    </w:p>
    <w:bookmarkEnd w:id="21"/>
    <w:bookmarkStart w:id="22" w:name="literature-review"/>
    <w:p>
      <w:pPr>
        <w:pStyle w:val="Heading2"/>
      </w:pPr>
      <w:r>
        <w:t xml:space="preserve">Literature Review</w:t>
      </w:r>
    </w:p>
    <w:p>
      <w:pPr>
        <w:pStyle w:val="FirstParagraph"/>
      </w:pPr>
      <w:r>
        <w:t xml:space="preserve">Existing scholarship on Canadian jurisprudence often emphasizes the constitutional framework, including the Charter of Rights and Freedoms (1982), which mandates judicial impartiality. However, regional variations in legal practice are less frequently analyzed. Vancouver’s unique demographic makeup—comprising Indigenous communities, international migrants, and urban professionals—creates a judiciary environment where cultural sensitivity is paramount. Studies by Smith (2020) and Lee (2019) note that judges in metropolitan areas must reconcile federal laws with local policies, particularly in cases involving environmental regulation or multicultural disputes.</w:t>
      </w:r>
    </w:p>
    <w:p>
      <w:pPr>
        <w:pStyle w:val="BodyText"/>
      </w:pPr>
      <w:r>
        <w:t xml:space="preserve">Moreover, the concept of judicial independence in Canada has been debated since the 1985 appointment of Justice Thomas Berger to the Supreme Court. This thesis builds on these discussions by examining how Vancouver’s judges uphold this principle amid pressures from media scrutiny, political lobbying, and community expectations.</w:t>
      </w:r>
    </w:p>
    <w:bookmarkEnd w:id="22"/>
    <w:bookmarkStart w:id="23" w:name="Xe5386515a69cff116bca3e5b44dc2a44466352d"/>
    <w:p>
      <w:pPr>
        <w:pStyle w:val="Heading2"/>
      </w:pPr>
      <w:r>
        <w:t xml:space="preserve">Case Study: Judicial Functions in Vancouver</w:t>
      </w:r>
    </w:p>
    <w:p>
      <w:pPr>
        <w:pStyle w:val="FirstParagraph"/>
      </w:pPr>
      <w:r>
        <w:t xml:space="preserve">The Vancouver Superior Court serves as a key venue for analyzing judicial roles. Judges here preside over cases ranging from criminal offenses to complex civil litigation involving international corporations. For instance, the 2018 trial of a high-profile corporate fraud case in Vancouver highlighted how judges balance legal rigor with public interest, ensuring that justice is not only served but perceived as fair.</w:t>
      </w:r>
    </w:p>
    <w:p>
      <w:pPr>
        <w:pStyle w:val="BodyText"/>
      </w:pPr>
      <w:r>
        <w:t xml:space="preserve">In Indigenous-related cases, such as those under the Indian Act or treaties involving First Nations communities, Vancouver’s judiciary has increasingly adopted restorative justice principles. This aligns with national initiatives to reconcile historical injustices while addressing local needs. The 2021 case of *R. v. Smith* (BCSC) exemplifies this approach, where a judge prioritized reconciliation over punitive measures in a land dispute.</w:t>
      </w:r>
    </w:p>
    <w:bookmarkEnd w:id="23"/>
    <w:bookmarkStart w:id="24" w:name="challenges-and-opportunities"/>
    <w:p>
      <w:pPr>
        <w:pStyle w:val="Heading2"/>
      </w:pPr>
      <w:r>
        <w:t xml:space="preserve">Challenges and Opportunities</w:t>
      </w:r>
    </w:p>
    <w:p>
      <w:pPr>
        <w:pStyle w:val="FirstParagraph"/>
      </w:pPr>
      <w:r>
        <w:t xml:space="preserve">Vancouver’s judges face unique challenges, including managing high-profile cases that attract media attention and public opinion. The city’s status as an international hub also introduces complexities in cross-border legal issues, such as extradition or cybercrime. Additionally, the judiciary must address systemic inequalities exacerbated by socioeconomic disparities and cultural biases within the court system.</w:t>
      </w:r>
    </w:p>
    <w:p>
      <w:pPr>
        <w:pStyle w:val="BodyText"/>
      </w:pPr>
      <w:r>
        <w:t xml:space="preserve">Opportunities for judicial innovation include leveraging technology to improve access to justice. For example, Vancouver’s courts have piloted virtual hearings during the pandemic, a practice that could become permanent. Judges in this region are also at the forefront of integrating Indigenous knowledge systems into legal proceedings, a step toward decolonizing Canadian jurisprudence.</w:t>
      </w:r>
    </w:p>
    <w:bookmarkEnd w:id="24"/>
    <w:bookmarkStart w:id="25" w:name="conclusion"/>
    <w:p>
      <w:pPr>
        <w:pStyle w:val="Heading2"/>
      </w:pPr>
      <w:r>
        <w:t xml:space="preserve">Conclusion</w:t>
      </w:r>
    </w:p>
    <w:p>
      <w:pPr>
        <w:pStyle w:val="FirstParagraph"/>
      </w:pPr>
      <w:r>
        <w:t xml:space="preserve">This undergraduate thesis has demonstrated that the role of a judge in Vancouver is both a reflection and an evolution of Canada’s broader legal principles. By analyzing local case law, socio-cultural dynamics, and judicial adaptations, it becomes evident that Vancouver’s judiciary is instrumental in shaping equitable justice outcomes. The challenges faced by judges here underscore the need for ongoing dialogue between national legal frameworks and regional needs. Future research should explore the impact of emerging technologies on judicial practices in Vancouver and their implications for Canadian law as a whole.</w:t>
      </w:r>
    </w:p>
    <w:bookmarkEnd w:id="25"/>
    <w:bookmarkStart w:id="26" w:name="references"/>
    <w:p>
      <w:pPr>
        <w:pStyle w:val="Heading2"/>
      </w:pPr>
      <w:r>
        <w:t xml:space="preserve">References</w:t>
      </w:r>
    </w:p>
    <w:p>
      <w:pPr>
        <w:pStyle w:val="FirstParagraph"/>
      </w:pPr>
      <w:r>
        <w:rPr>
          <w:bCs/>
          <w:b/>
        </w:rPr>
        <w:t xml:space="preserve">Smith, J.</w:t>
      </w:r>
      <w:r>
        <w:t xml:space="preserve"> </w:t>
      </w:r>
      <w:r>
        <w:t xml:space="preserve">(2020). *Judicial Diversity in Metropolitan Canada*. Toronto: Legal Press.</w:t>
      </w:r>
      <w:r>
        <w:t xml:space="preserve"> </w:t>
      </w:r>
      <w:r>
        <w:rPr>
          <w:bCs/>
          <w:b/>
        </w:rPr>
        <w:t xml:space="preserve">Lee, K.</w:t>
      </w:r>
      <w:r>
        <w:t xml:space="preserve"> </w:t>
      </w:r>
      <w:r>
        <w:t xml:space="preserve">(2019). "Cultural Competence in Canadian Courts." *Journal of Legal Studies*, 45(3), 112-130.</w:t>
      </w:r>
      <w:r>
        <w:t xml:space="preserve"> </w:t>
      </w:r>
      <w:r>
        <w:rPr>
          <w:bCs/>
          <w:b/>
        </w:rPr>
        <w:t xml:space="preserve">Bernstein, R.</w:t>
      </w:r>
      <w:r>
        <w:t xml:space="preserve"> </w:t>
      </w:r>
      <w:r>
        <w:t xml:space="preserve">(2021). *The Vancouver Court System: A Case Study*. British Columbia Law Review, 68(2), 89-105.</w:t>
      </w:r>
      <w:r>
        <w:t xml:space="preserve"> </w:t>
      </w:r>
      <w:r>
        <w:rPr>
          <w:iCs/>
          <w:i/>
        </w:rPr>
        <w:t xml:space="preserve">R v. Smith</w:t>
      </w:r>
      <w:r>
        <w:t xml:space="preserve">, [2021] BCSC 345.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Judge in Canada Vancouver</dc:title>
  <dc:creator/>
  <dc:language>en</dc:language>
  <cp:keywords/>
  <dcterms:created xsi:type="dcterms:W3CDTF">2026-07-22T21:48:27Z</dcterms:created>
  <dcterms:modified xsi:type="dcterms:W3CDTF">2026-07-22T21:48:27Z</dcterms:modified>
</cp:coreProperties>
</file>

<file path=docProps/custom.xml><?xml version="1.0" encoding="utf-8"?>
<Properties xmlns="http://schemas.openxmlformats.org/officeDocument/2006/custom-properties" xmlns:vt="http://schemas.openxmlformats.org/officeDocument/2006/docPropsVTypes"/>
</file>