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r>
        <w:t xml:space="preserve"> </w:t>
      </w:r>
      <w:r>
        <w:t xml:space="preserve">An</w:t>
      </w:r>
      <w:r>
        <w:t xml:space="preserve"> </w:t>
      </w:r>
      <w:r>
        <w:t xml:space="preserve">Undergraduate</w:t>
      </w:r>
      <w:r>
        <w:t xml:space="preserve"> </w:t>
      </w:r>
      <w:r>
        <w:t xml:space="preserve">Thesis</w:t>
      </w:r>
    </w:p>
    <w:bookmarkStart w:id="28" w:name="Xea3ccc12e57fe642bc85bab09c4034ec374468c"/>
    <w:p>
      <w:pPr>
        <w:pStyle w:val="Heading1"/>
      </w:pPr>
      <w:r>
        <w:t xml:space="preserve">The Role of Lawyers in Legal Practice and Professional Development in Kuala Lumpur, Malaysia: An Undergraduate Thesis</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w:t>
      </w:r>
      <w:r>
        <w:t xml:space="preserve">explores the evolving role of</w:t>
      </w:r>
      <w:r>
        <w:t xml:space="preserve"> </w:t>
      </w:r>
      <w:r>
        <w:rPr>
          <w:iCs/>
          <w:i/>
          <w:bCs/>
          <w:b/>
        </w:rPr>
        <w:t xml:space="preserve">Lawyers</w:t>
      </w:r>
      <w:r>
        <w:t xml:space="preserve"> </w:t>
      </w:r>
      <w:r>
        <w:t xml:space="preserve">within the legal framework of</w:t>
      </w:r>
      <w:r>
        <w:t xml:space="preserve"> </w:t>
      </w:r>
      <w:r>
        <w:rPr>
          <w:iCs/>
          <w:i/>
          <w:bCs/>
          <w:b/>
        </w:rPr>
        <w:t xml:space="preserve">Kuala Lumpur, Malaysia</w:t>
      </w:r>
      <w:r>
        <w:t xml:space="preserve">, emphasizing their responsibilities, challenges, and opportunities in a rapidly modernizing society. The study examines how legal professionals in Kuala Lumpur navigate complex domestic and international laws while contributing to justice delivery in a multicultural environment. By analyzing the structure of Malaysia’s legal system and the professional development pathways for lawyers in Kuala Lumpur, this thesis aims to provide insights into the practical realities faced by legal practitioners in this region.</w:t>
      </w:r>
    </w:p>
    <w:bookmarkEnd w:id="20"/>
    <w:bookmarkStart w:id="21" w:name="introduction"/>
    <w:p>
      <w:pPr>
        <w:pStyle w:val="Heading2"/>
      </w:pPr>
      <w:r>
        <w:t xml:space="preserve">1. Introduction</w:t>
      </w:r>
    </w:p>
    <w:p>
      <w:pPr>
        <w:pStyle w:val="FirstParagraph"/>
      </w:pPr>
      <w:r>
        <w:rPr>
          <w:bCs/>
          <w:b/>
        </w:rPr>
        <w:t xml:space="preserve">Kuala Lumpur, Malaysia</w:t>
      </w:r>
      <w:r>
        <w:t xml:space="preserve">, as the country’s capital and a global hub for commerce, finance, and law, presents unique opportunities and challenges for</w:t>
      </w:r>
      <w:r>
        <w:t xml:space="preserve"> </w:t>
      </w:r>
      <w:r>
        <w:rPr>
          <w:bCs/>
          <w:b/>
        </w:rPr>
        <w:t xml:space="preserve">Lawyers</w:t>
      </w:r>
      <w:r>
        <w:t xml:space="preserve">. The city’s legal landscape is shaped by its status as a common law jurisdiction influenced by British colonial history, while also reflecting Malaysia’s distinct multicultural identity. This</w:t>
      </w:r>
      <w:r>
        <w:t xml:space="preserve"> </w:t>
      </w:r>
      <w:r>
        <w:rPr>
          <w:bCs/>
          <w:b/>
        </w:rPr>
        <w:t xml:space="preserve">Undergraduate Thesis</w:t>
      </w:r>
      <w:r>
        <w:t xml:space="preserve"> </w:t>
      </w:r>
      <w:r>
        <w:t xml:space="preserve">investigates the role of lawyers in ensuring equitable access to justice, upholding the rule of law, and adapting to technological and societal changes in Kuala Lumpur.</w:t>
      </w:r>
    </w:p>
    <w:bookmarkEnd w:id="21"/>
    <w:bookmarkStart w:id="22" w:name="legal-framework-in-malaysia-an-overview"/>
    <w:p>
      <w:pPr>
        <w:pStyle w:val="Heading2"/>
      </w:pPr>
      <w:r>
        <w:t xml:space="preserve">2. Legal Framework in Malaysia: An Overview</w:t>
      </w:r>
    </w:p>
    <w:p>
      <w:pPr>
        <w:pStyle w:val="FirstParagraph"/>
      </w:pPr>
      <w:r>
        <w:t xml:space="preserve">Malaysia operates under a hybrid legal system, combining common law principles with Islamic law (Sharia) for personal matters affecting Muslims. In</w:t>
      </w:r>
      <w:r>
        <w:t xml:space="preserve"> </w:t>
      </w:r>
      <w:r>
        <w:rPr>
          <w:bCs/>
          <w:b/>
        </w:rPr>
        <w:t xml:space="preserve">Kuala Lumpur</w:t>
      </w:r>
      <w:r>
        <w:t xml:space="preserve">, the legal framework includes civil and criminal courts, specialized tribunals, and regulatory bodies such as the Malaysian Bar Council. Lawyers in this jurisdiction must navigate these layers of complexity while representing clients in both local and international disputes.</w:t>
      </w:r>
    </w:p>
    <w:p>
      <w:pPr>
        <w:pStyle w:val="BodyText"/>
      </w:pPr>
      <w:r>
        <w:t xml:space="preserve">The city’s prominence as a regional financial center has increased demand for legal expertise in areas such as corporate law, intellectual property, and dispute resolution. Furthermore,</w:t>
      </w:r>
      <w:r>
        <w:t xml:space="preserve"> </w:t>
      </w:r>
      <w:r>
        <w:rPr>
          <w:bCs/>
          <w:b/>
        </w:rPr>
        <w:t xml:space="preserve">Kuala Lumpur</w:t>
      </w:r>
      <w:r>
        <w:t xml:space="preserve"> </w:t>
      </w:r>
      <w:r>
        <w:t xml:space="preserve">serves as a focal point for cross-border transactions involving Southeast Asian nations, requiring lawyers to be well-versed in international treaties and trade agreements.</w:t>
      </w:r>
    </w:p>
    <w:bookmarkEnd w:id="22"/>
    <w:bookmarkStart w:id="23" w:name="the-role-of-lawyers-in-kuala-lumpur"/>
    <w:p>
      <w:pPr>
        <w:pStyle w:val="Heading2"/>
      </w:pPr>
      <w:r>
        <w:t xml:space="preserve">3. The Role of Lawyers in Kuala Lumpur</w:t>
      </w:r>
    </w:p>
    <w:p>
      <w:pPr>
        <w:pStyle w:val="FirstParagraph"/>
      </w:pPr>
      <w:r>
        <w:rPr>
          <w:bCs/>
          <w:b/>
        </w:rPr>
        <w:t xml:space="preserve">Lawyers</w:t>
      </w:r>
      <w:r>
        <w:t xml:space="preserve"> </w:t>
      </w:r>
      <w:r>
        <w:t xml:space="preserve">in</w:t>
      </w:r>
      <w:r>
        <w:t xml:space="preserve"> </w:t>
      </w:r>
      <w:r>
        <w:rPr>
          <w:bCs/>
          <w:b/>
        </w:rPr>
        <w:t xml:space="preserve">Kuala Lumpur</w:t>
      </w:r>
      <w:r>
        <w:t xml:space="preserve"> </w:t>
      </w:r>
      <w:r>
        <w:t xml:space="preserve">play a multifaceted role, ranging from advising clients on legal matters to representing them in court. Key responsibilities include:</w:t>
      </w:r>
    </w:p>
    <w:p>
      <w:pPr>
        <w:numPr>
          <w:ilvl w:val="0"/>
          <w:numId w:val="1001"/>
        </w:numPr>
        <w:pStyle w:val="Compact"/>
      </w:pPr>
      <w:r>
        <w:rPr>
          <w:bCs/>
          <w:b/>
        </w:rPr>
        <w:t xml:space="preserve">Counseling Clients:</w:t>
      </w:r>
      <w:r>
        <w:t xml:space="preserve"> </w:t>
      </w:r>
      <w:r>
        <w:t xml:space="preserve">Providing legal advice tailored to the needs of individuals and businesses operating within Malaysia’s regulatory environment.</w:t>
      </w:r>
    </w:p>
    <w:p>
      <w:pPr>
        <w:numPr>
          <w:ilvl w:val="0"/>
          <w:numId w:val="1001"/>
        </w:numPr>
        <w:pStyle w:val="Compact"/>
      </w:pPr>
      <w:r>
        <w:rPr>
          <w:bCs/>
          <w:b/>
        </w:rPr>
        <w:t xml:space="preserve">Litigation and Advocacy:</w:t>
      </w:r>
      <w:r>
        <w:t xml:space="preserve"> </w:t>
      </w:r>
      <w:r>
        <w:t xml:space="preserve">Representing clients in civil, criminal, or administrative cases before local courts and tribunals.</w:t>
      </w:r>
    </w:p>
    <w:p>
      <w:pPr>
        <w:numPr>
          <w:ilvl w:val="0"/>
          <w:numId w:val="1001"/>
        </w:numPr>
        <w:pStyle w:val="Compact"/>
      </w:pPr>
      <w:r>
        <w:rPr>
          <w:bCs/>
          <w:b/>
        </w:rPr>
        <w:t xml:space="preserve">Civil Law Practice:</w:t>
      </w:r>
      <w:r>
        <w:t xml:space="preserve"> </w:t>
      </w:r>
      <w:r>
        <w:t xml:space="preserve">Specializing in areas such as family law, property disputes, or employment law within the multicultural context of Kuala Lumpur.</w:t>
      </w:r>
    </w:p>
    <w:p>
      <w:pPr>
        <w:numPr>
          <w:ilvl w:val="0"/>
          <w:numId w:val="1001"/>
        </w:numPr>
        <w:pStyle w:val="Compact"/>
      </w:pPr>
      <w:r>
        <w:rPr>
          <w:bCs/>
          <w:b/>
        </w:rPr>
        <w:t xml:space="preserve">Corporate Legal Services:</w:t>
      </w:r>
      <w:r>
        <w:t xml:space="preserve"> </w:t>
      </w:r>
      <w:r>
        <w:t xml:space="preserve">Assisting companies with compliance, mergers and acquisitions, and contract negotiations.</w:t>
      </w:r>
    </w:p>
    <w:p>
      <w:pPr>
        <w:pStyle w:val="FirstParagraph"/>
      </w:pPr>
      <w:r>
        <w:t xml:space="preserve">In addition to these roles, lawyers in</w:t>
      </w:r>
      <w:r>
        <w:t xml:space="preserve"> </w:t>
      </w:r>
      <w:r>
        <w:rPr>
          <w:bCs/>
          <w:b/>
        </w:rPr>
        <w:t xml:space="preserve">Kuala Lumpur</w:t>
      </w:r>
      <w:r>
        <w:t xml:space="preserve"> </w:t>
      </w:r>
      <w:r>
        <w:t xml:space="preserve">are increasingly involved in pro bono work, addressing gaps in legal aid for underprivileged communities. This aligns with the Malaysian Bar’s initiatives to promote social justice and equitable access to legal representation.</w:t>
      </w:r>
    </w:p>
    <w:bookmarkEnd w:id="23"/>
    <w:bookmarkStart w:id="24" w:name="Xde780d7bc5cced29b948b107f5a25de33b0c477"/>
    <w:p>
      <w:pPr>
        <w:pStyle w:val="Heading2"/>
      </w:pPr>
      <w:r>
        <w:t xml:space="preserve">4. Challenges Facing Lawyers in Kuala Lumpur</w:t>
      </w:r>
    </w:p>
    <w:p>
      <w:pPr>
        <w:pStyle w:val="FirstParagraph"/>
      </w:pPr>
      <w:r>
        <w:rPr>
          <w:bCs/>
          <w:b/>
        </w:rPr>
        <w:t xml:space="preserve">Lawyers</w:t>
      </w:r>
      <w:r>
        <w:t xml:space="preserve"> </w:t>
      </w:r>
      <w:r>
        <w:t xml:space="preserve">practicing in</w:t>
      </w:r>
      <w:r>
        <w:t xml:space="preserve"> </w:t>
      </w:r>
      <w:r>
        <w:rPr>
          <w:bCs/>
          <w:b/>
        </w:rPr>
        <w:t xml:space="preserve">Kuala Lumpur</w:t>
      </w:r>
      <w:r>
        <w:t xml:space="preserve"> </w:t>
      </w:r>
      <w:r>
        <w:t xml:space="preserve">face unique challenges, including:</w:t>
      </w:r>
    </w:p>
    <w:p>
      <w:pPr>
        <w:numPr>
          <w:ilvl w:val="0"/>
          <w:numId w:val="1002"/>
        </w:numPr>
        <w:pStyle w:val="Compact"/>
      </w:pPr>
      <w:r>
        <w:rPr>
          <w:bCs/>
          <w:b/>
        </w:rPr>
        <w:t xml:space="preserve">Cultural Diversity:</w:t>
      </w:r>
      <w:r>
        <w:t xml:space="preserve"> </w:t>
      </w:r>
      <w:r>
        <w:t xml:space="preserve">Navigating the diverse ethnic and religious demographics of Malaysia while ensuring inclusive legal representation.</w:t>
      </w:r>
    </w:p>
    <w:p>
      <w:pPr>
        <w:numPr>
          <w:ilvl w:val="0"/>
          <w:numId w:val="1002"/>
        </w:numPr>
        <w:pStyle w:val="Compact"/>
      </w:pPr>
      <w:r>
        <w:rPr>
          <w:bCs/>
          <w:b/>
        </w:rPr>
        <w:t xml:space="preserve">Tech Integration:</w:t>
      </w:r>
      <w:r>
        <w:t xml:space="preserve"> </w:t>
      </w:r>
      <w:r>
        <w:t xml:space="preserve">Adapting to digital tools for case management, e-discovery, and virtual consultations amid rapid technological advancements.</w:t>
      </w:r>
    </w:p>
    <w:p>
      <w:pPr>
        <w:numPr>
          <w:ilvl w:val="0"/>
          <w:numId w:val="1002"/>
        </w:numPr>
        <w:pStyle w:val="Compact"/>
      </w:pPr>
      <w:r>
        <w:rPr>
          <w:bCs/>
          <w:b/>
        </w:rPr>
        <w:t xml:space="preserve">Ethical Dilemmas:</w:t>
      </w:r>
      <w:r>
        <w:t xml:space="preserve"> </w:t>
      </w:r>
      <w:r>
        <w:t xml:space="preserve">Balancing client confidentiality with the public interest in high-profile cases or corporate fraud investigations.</w:t>
      </w:r>
    </w:p>
    <w:p>
      <w:pPr>
        <w:numPr>
          <w:ilvl w:val="0"/>
          <w:numId w:val="1002"/>
        </w:numPr>
        <w:pStyle w:val="Compact"/>
      </w:pPr>
      <w:r>
        <w:rPr>
          <w:bCs/>
          <w:b/>
        </w:rPr>
        <w:t xml:space="preserve">Criticism of Legal Aid:</w:t>
      </w:r>
      <w:r>
        <w:t xml:space="preserve"> </w:t>
      </w:r>
      <w:r>
        <w:t xml:space="preserve">Addressing criticisms regarding the inadequacy of legal aid systems for marginalized groups in urban centers like Kuala Lumpur.</w:t>
      </w:r>
    </w:p>
    <w:p>
      <w:pPr>
        <w:pStyle w:val="FirstParagraph"/>
      </w:pPr>
      <w:r>
        <w:t xml:space="preserve">The competitive nature of Kuala Lumpur’s legal market also pressures lawyers to continuously upskill, as demand for niche expertise in areas such as cybersecurity law or environmental regulation grows.</w:t>
      </w:r>
    </w:p>
    <w:bookmarkEnd w:id="24"/>
    <w:bookmarkStart w:id="25" w:name="Xf8d6bb8204d83b9c909a2972036cdda055e16b2"/>
    <w:p>
      <w:pPr>
        <w:pStyle w:val="Heading2"/>
      </w:pPr>
      <w:r>
        <w:t xml:space="preserve">5. Professional Development and Education Opportunities</w:t>
      </w:r>
    </w:p>
    <w:p>
      <w:pPr>
        <w:pStyle w:val="FirstParagraph"/>
      </w:pPr>
      <w:r>
        <w:rPr>
          <w:bCs/>
          <w:b/>
        </w:rPr>
        <w:t xml:space="preserve">Kuala Lumpur</w:t>
      </w:r>
      <w:r>
        <w:t xml:space="preserve"> </w:t>
      </w:r>
      <w:r>
        <w:t xml:space="preserve">offers a robust ecosystem for</w:t>
      </w:r>
      <w:r>
        <w:t xml:space="preserve"> </w:t>
      </w:r>
      <w:r>
        <w:rPr>
          <w:bCs/>
          <w:b/>
        </w:rPr>
        <w:t xml:space="preserve">Lawyers</w:t>
      </w:r>
      <w:r>
        <w:t xml:space="preserve"> </w:t>
      </w:r>
      <w:r>
        <w:t xml:space="preserve">seeking professional development. Law firms in the city often collaborate with local universities, such as the University of Malaya and Universiti Kebangsaan Malaysia, to provide internships and research opportunities for law students.</w:t>
      </w:r>
    </w:p>
    <w:p>
      <w:pPr>
        <w:pStyle w:val="BodyText"/>
      </w:pPr>
      <w:r>
        <w:t xml:space="preserve">Certification programs in specialized fields, including alternative dispute resolution (ADR), intellectual property rights, and international commercial law, are readily available. Additionally, legal practitioners can attend seminars hosted by the Malaysian Bar Council or industry-specific associations to stay updated on legislative changes and emerging trends.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Lawyers</w:t>
      </w:r>
      <w:r>
        <w:t xml:space="preserve"> </w:t>
      </w:r>
      <w:r>
        <w:t xml:space="preserve">in shaping justice delivery within the dynamic legal landscape of</w:t>
      </w:r>
      <w:r>
        <w:t xml:space="preserve"> </w:t>
      </w:r>
      <w:r>
        <w:rPr>
          <w:bCs/>
          <w:b/>
        </w:rPr>
        <w:t xml:space="preserve">Kuala Lumpur, Malaysia</w:t>
      </w:r>
      <w:r>
        <w:t xml:space="preserve">. As the city continues to evolve as a regional legal hub, lawyers must adapt to new challenges while upholding ethical standards and serving diverse communities. Future research could explore the impact of artificial intelligence on legal practice or compare Kuala Lumpur’s legal framework with that of other Southeast Asian capitals.</w:t>
      </w:r>
    </w:p>
    <w:bookmarkEnd w:id="26"/>
    <w:bookmarkStart w:id="27" w:name="references"/>
    <w:p>
      <w:pPr>
        <w:pStyle w:val="Heading2"/>
      </w:pPr>
      <w:r>
        <w:t xml:space="preserve">References</w:t>
      </w:r>
    </w:p>
    <w:p>
      <w:pPr>
        <w:pStyle w:val="FirstParagraph"/>
      </w:pPr>
      <w:r>
        <w:rPr>
          <w:bCs/>
          <w:b/>
        </w:rPr>
        <w:t xml:space="preserve">Kuala Lumpur</w:t>
      </w:r>
      <w:r>
        <w:t xml:space="preserve">: Legal Frameworks, Malaysian Bar Council Reports, University of Malaya Law School Publications.</w:t>
      </w:r>
      <w:r>
        <w:t xml:space="preserve"> </w:t>
      </w:r>
      <w:r>
        <w:rPr>
          <w:iCs/>
          <w:i/>
        </w:rPr>
        <w:t xml:space="preserve">Citations follow APA style for all sources referenced in this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Lawyers in Legal Practice and Professional Development in Kuala Lumpur, Malaysia: An Undergraduate Thesis</dc:title>
  <dc:creator/>
  <dc:language>en</dc:language>
  <cp:keywords/>
  <dcterms:created xsi:type="dcterms:W3CDTF">2026-07-23T12:17:32Z</dcterms:created>
  <dcterms:modified xsi:type="dcterms:W3CDTF">2026-07-23T12:17:32Z</dcterms:modified>
</cp:coreProperties>
</file>

<file path=docProps/custom.xml><?xml version="1.0" encoding="utf-8"?>
<Properties xmlns="http://schemas.openxmlformats.org/officeDocument/2006/custom-properties" xmlns:vt="http://schemas.openxmlformats.org/officeDocument/2006/docPropsVTypes"/>
</file>