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01342813c0fbdcfc16ae97fcfb65e6deefc05d"/>
    <w:p>
      <w:pPr>
        <w:pStyle w:val="Heading1"/>
      </w:pPr>
      <w:r>
        <w:t xml:space="preserve">Undergraduate Thesis: The Role and Responsibilities of a Lawyer in New Zealand Wellington</w:t>
      </w:r>
    </w:p>
    <w:bookmarkStart w:id="20" w:name="abstract"/>
    <w:p>
      <w:pPr>
        <w:pStyle w:val="Heading2"/>
      </w:pPr>
      <w:r>
        <w:t xml:space="preserve">Abstract</w:t>
      </w:r>
    </w:p>
    <w:p>
      <w:pPr>
        <w:pStyle w:val="FirstParagraph"/>
      </w:pPr>
      <w:r>
        <w:t xml:space="preserve">This Undergraduate Thesis explores the multifaceted role of a Lawyer within the legal framework of New Zealand, with a particular focus on Wellington, the nation’s capital. The study examines how lawyers operate in this unique jurisdiction, emphasizing their responsibilities to uphold justice, adhere to local regulations, and navigate the interplay between common law principles and Māori legal traditions. By analyzing case studies from Wellington’s courts and legal institutions, this thesis highlights the challenges and opportunities faced by lawyers in a region that serves as both a political hub and a cultural crossroads.</w:t>
      </w:r>
    </w:p>
    <w:bookmarkEnd w:id="20"/>
    <w:bookmarkStart w:id="21" w:name="introduction"/>
    <w:p>
      <w:pPr>
        <w:pStyle w:val="Heading2"/>
      </w:pPr>
      <w:r>
        <w:t xml:space="preserve">Introduction</w:t>
      </w:r>
    </w:p>
    <w:p>
      <w:pPr>
        <w:pStyle w:val="FirstParagraph"/>
      </w:pPr>
      <w:r>
        <w:t xml:space="preserve">New Zealand’s legal system is rooted in common law, influenced by British colonial history while incorporating unique elements such as Māori customary law. Wellington, as the seat of government and home to the Supreme Court of New Zealand, holds a critical position in shaping national jurisprudence. For undergraduates studying law, understanding the role of a Lawyer within this context is essential to grasp both theoretical and practical aspects of legal practice. This thesis aims to bridge academic knowledge with real-world applications by focusing on Wellington’s distinct legal environment.</w:t>
      </w:r>
    </w:p>
    <w:bookmarkEnd w:id="21"/>
    <w:bookmarkStart w:id="22" w:name="Xec196258e42272671713d0c2c930149c0036e9e"/>
    <w:p>
      <w:pPr>
        <w:pStyle w:val="Heading2"/>
      </w:pPr>
      <w:r>
        <w:t xml:space="preserve">Legal Framework of New Zealand Wellington</w:t>
      </w:r>
    </w:p>
    <w:p>
      <w:pPr>
        <w:pStyle w:val="FirstParagraph"/>
      </w:pPr>
      <w:r>
        <w:t xml:space="preserve">New Zealand’s legal system operates under a dual structure: common law derived from British traditions and statutes enacted by the Parliament of New Zealand. In Wellington, this framework is further enriched by the presence of Māori legal principles, particularly in matters involving land rights and cultural heritage. Lawyers practicing in Wellington must be well-versed in these overlapping systems to represent clients effectively.</w:t>
      </w:r>
    </w:p>
    <w:p>
      <w:pPr>
        <w:pStyle w:val="BodyText"/>
      </w:pPr>
      <w:r>
        <w:t xml:space="preserve">The Legal Services Act 2012 and the New Zealand Law Society’s Code of Conduct govern the professional standards for lawyers across the country. In Wellington, adherence to these guidelines is paramount due to the high volume of complex cases processed by courts such as Te Ture Whenua (the Māori Land Court) and the High Court. Lawyers here often engage in cross-disciplinary work, balancing statutory law with cultural considerations.</w:t>
      </w:r>
    </w:p>
    <w:bookmarkEnd w:id="22"/>
    <w:bookmarkStart w:id="23" w:name="the-role-of-a-lawyer-in-wellington"/>
    <w:p>
      <w:pPr>
        <w:pStyle w:val="Heading2"/>
      </w:pPr>
      <w:r>
        <w:t xml:space="preserve">The Role of a Lawyer in Wellington</w:t>
      </w:r>
    </w:p>
    <w:p>
      <w:pPr>
        <w:pStyle w:val="FirstParagraph"/>
      </w:pPr>
      <w:r>
        <w:t xml:space="preserve">A Lawyer in Wellington performs diverse functions, including criminal defense, corporate advisory services, and advocacy before the courts. The region’s status as a political and economic center means that lawyers frequently handle cases related to public policy, environmental law, and human rights. For example, environmental litigation involving the Wellington region has been pivotal in shaping New Zealand’s approach to climate change legislation.</w:t>
      </w:r>
    </w:p>
    <w:p>
      <w:pPr>
        <w:pStyle w:val="BodyText"/>
      </w:pPr>
      <w:r>
        <w:t xml:space="preserve">Additionally, lawyers in Wellington often collaborate with Māori iwi (tribes) to resolve disputes over land ownership and resource management. This requires a nuanced understanding of both English and Te Reo Māori legal terminology, as well as the ability to navigate cultural protocols. Such work exemplifies the unique challenges faced by lawyers operating in a region where traditional and modern legal systems intersect.</w:t>
      </w:r>
    </w:p>
    <w:bookmarkEnd w:id="23"/>
    <w:bookmarkStart w:id="24" w:name="challenges-and-opportunities"/>
    <w:p>
      <w:pPr>
        <w:pStyle w:val="Heading2"/>
      </w:pPr>
      <w:r>
        <w:t xml:space="preserve">Challenges and Opportunities</w:t>
      </w:r>
    </w:p>
    <w:p>
      <w:pPr>
        <w:pStyle w:val="FirstParagraph"/>
      </w:pPr>
      <w:r>
        <w:t xml:space="preserve">Practicing law in Wellington presents distinct challenges. The high cost of living in the capital may deter aspiring lawyers, while the complexity of cases involving both Māori and colonial-era laws demands continuous professional development. Moreover, lawyers must stay updated on rapid legislative changes, such as reforms to immigration law or digital privacy regulations.</w:t>
      </w:r>
    </w:p>
    <w:p>
      <w:pPr>
        <w:pStyle w:val="BodyText"/>
      </w:pPr>
      <w:r>
        <w:t xml:space="preserve">Despite these challenges, Wellington offers unparalleled opportunities for career growth. The presence of prestigious institutions like Victoria University of Wellington’s Faculty of Law provides students with access to internships and mentorship programs. Furthermore, the region’s vibrant legal community fosters networking opportunities that can lead to specialized roles in areas such as intellectual property or international trade law.</w:t>
      </w:r>
    </w:p>
    <w:bookmarkEnd w:id="24"/>
    <w:bookmarkStart w:id="25" w:name="comparative-perspectives"/>
    <w:p>
      <w:pPr>
        <w:pStyle w:val="Heading2"/>
      </w:pPr>
      <w:r>
        <w:t xml:space="preserve">Comparative Perspectives</w:t>
      </w:r>
    </w:p>
    <w:p>
      <w:pPr>
        <w:pStyle w:val="FirstParagraph"/>
      </w:pPr>
      <w:r>
        <w:t xml:space="preserve">Comparing Wellington’s legal landscape to other New Zealand regions reveals the capital’s unique position. For instance, while rural areas may focus on agricultural law and resource consent applications, Wellington lawyers often engage in cases involving national security or constitutional law. This diversity underscores the importance of a Lawyer being adaptable and knowledgeable about both local and national issues.</w:t>
      </w:r>
    </w:p>
    <w:p>
      <w:pPr>
        <w:pStyle w:val="BodyText"/>
      </w:pPr>
      <w:r>
        <w:t xml:space="preserve">Internationally, Wellington’s legal system aligns with common law jurisdictions but differs in its integration of indigenous legal principles. Lawyers here may draw parallels to other post-colonial nations grappling with the reconciliation of customary law and modern statutes, offering a broader perspective for undergraduates studying comparative law.</w:t>
      </w:r>
    </w:p>
    <w:bookmarkEnd w:id="25"/>
    <w:bookmarkStart w:id="26" w:name="conclusion"/>
    <w:p>
      <w:pPr>
        <w:pStyle w:val="Heading2"/>
      </w:pPr>
      <w:r>
        <w:t xml:space="preserve">Conclusion</w:t>
      </w:r>
    </w:p>
    <w:p>
      <w:pPr>
        <w:pStyle w:val="FirstParagraph"/>
      </w:pPr>
      <w:r>
        <w:t xml:space="preserve">This Undergraduate Thesis has highlighted the critical role of a Lawyer within New Zealand Wellington’s dynamic legal environment. From navigating complex statutory frameworks to mediating disputes between Māori customary law and contemporary legislation, Wellington-based lawyers serve as pivotal figures in upholding justice. For undergraduates pursuing legal studies, understanding this context is vital to preparing for a career that balances theoretical knowledge with practical adaptability. As New Zealand continues to evolve, the role of a Lawyer in Wellington will remain central to shaping its legal identity.</w:t>
      </w:r>
    </w:p>
    <w:bookmarkEnd w:id="26"/>
    <w:bookmarkStart w:id="27" w:name="references"/>
    <w:p>
      <w:pPr>
        <w:pStyle w:val="Heading2"/>
      </w:pPr>
      <w:r>
        <w:t xml:space="preserve">References</w:t>
      </w:r>
    </w:p>
    <w:p>
      <w:pPr>
        <w:numPr>
          <w:ilvl w:val="0"/>
          <w:numId w:val="1001"/>
        </w:numPr>
        <w:pStyle w:val="Compact"/>
      </w:pPr>
      <w:r>
        <w:t xml:space="preserve">New Zealand Law Society. (2015). Code of Conduct for Lawyers.</w:t>
      </w:r>
    </w:p>
    <w:p>
      <w:pPr>
        <w:numPr>
          <w:ilvl w:val="0"/>
          <w:numId w:val="1001"/>
        </w:numPr>
        <w:pStyle w:val="Compact"/>
      </w:pPr>
      <w:r>
        <w:t xml:space="preserve">Legal Services Act 2012 (New Zealand).</w:t>
      </w:r>
    </w:p>
    <w:p>
      <w:pPr>
        <w:numPr>
          <w:ilvl w:val="0"/>
          <w:numId w:val="1001"/>
        </w:numPr>
        <w:pStyle w:val="Compact"/>
      </w:pPr>
      <w:r>
        <w:t xml:space="preserve">Ture Whenua Act 1993. Māori Land Court Regulations.</w:t>
      </w:r>
    </w:p>
    <w:p>
      <w:pPr>
        <w:numPr>
          <w:ilvl w:val="0"/>
          <w:numId w:val="1001"/>
        </w:numPr>
        <w:pStyle w:val="Compact"/>
      </w:pPr>
      <w:r>
        <w:t xml:space="preserve">Buckland, C., &amp; Sutherland, A. (Eds.). (2017). The Oxford Companion to the Supreme Court of the United States.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Responsibilities of a Lawyer in New Zealand Wellington</dc:title>
  <dc:creator/>
  <dc:language>en</dc:language>
  <cp:keywords/>
  <dcterms:created xsi:type="dcterms:W3CDTF">2026-07-24T13:43:47Z</dcterms:created>
  <dcterms:modified xsi:type="dcterms:W3CDTF">2026-07-24T13:43:47Z</dcterms:modified>
</cp:coreProperties>
</file>

<file path=docProps/custom.xml><?xml version="1.0" encoding="utf-8"?>
<Properties xmlns="http://schemas.openxmlformats.org/officeDocument/2006/custom-properties" xmlns:vt="http://schemas.openxmlformats.org/officeDocument/2006/docPropsVTypes"/>
</file>