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39df007308502a721cfce222dcba48529917f1b"/>
    <w:p>
      <w:pPr>
        <w:pStyle w:val="Heading1"/>
      </w:pPr>
      <w:r>
        <w:t xml:space="preserve">The Role of a Medical Researcher in the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United Arab Emirates (UAE), particularly Abu Dhabi, has emerged as a global hub for healthcare innovation and medical research. This undergraduate thesis explores the pivotal role of a Medical Researcher in shaping the healthcare landscape of Abu Dhabi. Focusing on current challenges and opportunities, this study examines how medical researchers contribute to advancing public health policies, addressing regional health disparities, and aligning with UAE Vision 2021 and Vision 2030 goals. Through an analysis of case studies, institutional frameworks, and interdisciplinary collaboration in Abu Dhabi’s healthcare sector, this thesis highlights the significance of a Medical Researcher in fostering sustainable development within the United Arab Emirates Abu Dhabi.</w:t>
      </w:r>
    </w:p>
    <w:bookmarkEnd w:id="20"/>
    <w:bookmarkStart w:id="21" w:name="introduction"/>
    <w:p>
      <w:pPr>
        <w:pStyle w:val="Heading2"/>
      </w:pPr>
      <w:r>
        <w:t xml:space="preserve">Introduction</w:t>
      </w:r>
    </w:p>
    <w:p>
      <w:pPr>
        <w:pStyle w:val="FirstParagraph"/>
      </w:pPr>
      <w:r>
        <w:t xml:space="preserve">The United Arab Emirates has prioritized healthcare as a cornerstone of its national development strategy. Abu Dhabi, as the capital and largest emirate, plays a central role in driving innovation and excellence in medical research. A Medical Researcher operates at the intersection of clinical practice, scientific inquiry, and policy-making to address unique health challenges faced by the UAE population. This thesis investigates how Medical Researchers in Abu Dhabi leverage advanced technologies, international partnerships, and local healthcare data to contribute to national health priorities.</w:t>
      </w:r>
    </w:p>
    <w:p>
      <w:pPr>
        <w:pStyle w:val="BodyText"/>
      </w:pPr>
      <w:r>
        <w:t xml:space="preserve">Abu Dhabi’s healthcare system is characterized by cutting-edge facilities such as Sheikh Khalifa Medical City (SKMC) and the Health Authority of Abu Dhabi (HAAD), which emphasize research-driven approaches to public health. The role of a Medical Researcher in this context extends beyond laboratory work, encompassing roles in epidemiological studies, clinical trials, and translational medicine. This study aims to provide a comprehensive understanding of how Medical Researchers contribute to Abu Dhabi’s healthcare goals while addressing challenges such as limited local data, cultural factors, and resource allocation.</w:t>
      </w:r>
    </w:p>
    <w:bookmarkEnd w:id="21"/>
    <w:bookmarkStart w:id="22" w:name="literature-review"/>
    <w:p>
      <w:pPr>
        <w:pStyle w:val="Heading2"/>
      </w:pPr>
      <w:r>
        <w:t xml:space="preserve">Literature Review</w:t>
      </w:r>
    </w:p>
    <w:p>
      <w:pPr>
        <w:pStyle w:val="FirstParagraph"/>
      </w:pPr>
      <w:r>
        <w:t xml:space="preserve">Medical research in the UAE has historically relied on international collaborations due to the relatively nascent nature of domestic research infrastructure. However, recent years have seen a surge in investment in medical research through institutions like the Mohammed bin Rashid Al Maktoum University and Abu Dhabi University. Key studies highlight the importance of integrating traditional medicine with modern scientific methods to cater to the diverse population of Abu Dhabi.</w:t>
      </w:r>
    </w:p>
    <w:p>
      <w:pPr>
        <w:pStyle w:val="BodyText"/>
      </w:pPr>
      <w:r>
        <w:t xml:space="preserve">Research published by HAAD underscores the rising prevalence of non-communicable diseases (NCDs) such as diabetes and cardiovascular conditions in the UAE. Medical Researchers in Abu Dhabi are tasked with addressing these challenges through targeted studies on lifestyle factors, genetic predispositions, and environmental influences. For example, a 2021 study conducted by SKMC analyzed the role of dietary patterns among Emirati children, revealing critical insights into childhood obesity prevention.</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Medical Researchers in Abu Dhabi. Data was collected through secondary sources, including peer-reviewed journals, institutional reports from SKMC and HAAD, and policy documents aligned with UAE Vision 2030. A case study approach was used to examine specific projects undertaken by Medical Researchers in Abu Dhabi, such as the development of AI-driven diagnostic tools for early cancer detection.</w:t>
      </w:r>
    </w:p>
    <w:p>
      <w:pPr>
        <w:pStyle w:val="BodyText"/>
      </w:pPr>
      <w:r>
        <w:t xml:space="preserve">Additionally, interviews with local experts in medical research were conducted to gather insights into the challenges and opportunities faced by professionals in this field. The analysis highlights trends such as increased funding for biotechnology startups and interdisciplinary collaboration between researchers, clinicians, and policymakers.</w:t>
      </w:r>
    </w:p>
    <w:bookmarkEnd w:id="23"/>
    <w:bookmarkStart w:id="24" w:name="case-studies"/>
    <w:p>
      <w:pPr>
        <w:pStyle w:val="Heading2"/>
      </w:pPr>
      <w:r>
        <w:t xml:space="preserve">Case Studies</w:t>
      </w:r>
    </w:p>
    <w:p>
      <w:pPr>
        <w:pStyle w:val="FirstParagraph"/>
      </w:pPr>
      <w:r>
        <w:rPr>
          <w:bCs/>
          <w:b/>
        </w:rPr>
        <w:t xml:space="preserve">CASE STUDY 1: Genomic Research at the Genome Centre of the United Arab Emirates (GCUAE)</w:t>
      </w:r>
      <w:r>
        <w:br/>
      </w:r>
      <w:r>
        <w:t xml:space="preserve">The GCUAE, located in Abu Dhabi, is a leading institution for genomic research in the Middle East. Medical Researchers here have pioneered studies on genetic disorders prevalent among UAE populations, such as thalassemia and congenital adrenal hyperplasia. These efforts align with Abu Dhabi’s goal to become a regional leader in precision medicine.</w:t>
      </w:r>
    </w:p>
    <w:p>
      <w:pPr>
        <w:pStyle w:val="BodyText"/>
      </w:pPr>
      <w:r>
        <w:rPr>
          <w:bCs/>
          <w:b/>
        </w:rPr>
        <w:t xml:space="preserve">CASE STUDY 2: Telemedicine and Remote Monitoring</w:t>
      </w:r>
      <w:r>
        <w:br/>
      </w:r>
      <w:r>
        <w:t xml:space="preserve">In response to the challenges posed by the COVID-19 pandemic, Medical Researchers in Abu Dhabi developed telemedicine platforms that enable remote patient monitoring. This innovation not only improved healthcare access but also generated valuable data for future research on chronic disease management.</w:t>
      </w:r>
    </w:p>
    <w:bookmarkEnd w:id="24"/>
    <w:bookmarkStart w:id="25" w:name="challenges-and-opportunities"/>
    <w:p>
      <w:pPr>
        <w:pStyle w:val="Heading2"/>
      </w:pPr>
      <w:r>
        <w:t xml:space="preserve">Challenges and Opportunities</w:t>
      </w:r>
    </w:p>
    <w:p>
      <w:pPr>
        <w:pStyle w:val="FirstParagraph"/>
      </w:pPr>
      <w:r>
        <w:t xml:space="preserve">Despite its progress, medical research in Abu Dhabi faces challenges such as limited local datasets, cultural sensitivities around health data sharing, and the need for greater investment in research infrastructure. Additionally, the UAE’s diverse population requires Medical Researchers to account for cultural and socioeconomic factors when designing studies.</w:t>
      </w:r>
    </w:p>
    <w:p>
      <w:pPr>
        <w:pStyle w:val="BodyText"/>
      </w:pPr>
      <w:r>
        <w:t xml:space="preserve">Opportunities abound through partnerships with global institutions like Harvard University and MIT. Abu Dhabi’s free zones, such as Masdar City, also offer a conducive environment for biotech startups focused on medical innovation. The UAE government’s commitment to funding research through initiatives like the Abu Dhabi Research and Development Fund further strengthens the ecosystem for Medical Researchers.</w:t>
      </w:r>
    </w:p>
    <w:bookmarkEnd w:id="25"/>
    <w:bookmarkStart w:id="26" w:name="conclusion"/>
    <w:p>
      <w:pPr>
        <w:pStyle w:val="Heading2"/>
      </w:pPr>
      <w:r>
        <w:t xml:space="preserve">Conclusion</w:t>
      </w:r>
    </w:p>
    <w:p>
      <w:pPr>
        <w:pStyle w:val="FirstParagraph"/>
      </w:pPr>
      <w:r>
        <w:t xml:space="preserve">The role of a Medical Researcher in the United Arab Emirates Abu Dhabi is critical to advancing public health, reducing health disparities, and achieving national development goals. Through innovative research, interdisciplinary collaboration, and alignment with UAE Vision 2030 objectives, Medical Researchers are shaping the future of healthcare in this region. This undergraduate thesis underscores the importance of nurturing a robust medical research culture in Abu Dhabi to address both local and global health challenges.</w:t>
      </w:r>
    </w:p>
    <w:bookmarkEnd w:id="26"/>
    <w:bookmarkStart w:id="27" w:name="references"/>
    <w:p>
      <w:pPr>
        <w:pStyle w:val="Heading2"/>
      </w:pPr>
      <w:r>
        <w:t xml:space="preserve">References</w:t>
      </w:r>
    </w:p>
    <w:p>
      <w:pPr>
        <w:numPr>
          <w:ilvl w:val="0"/>
          <w:numId w:val="1001"/>
        </w:numPr>
        <w:pStyle w:val="Compact"/>
      </w:pPr>
      <w:r>
        <w:t xml:space="preserve">Health Authority of Abu Dhabi (HAAD). (2021). Annual Report on Non-Communicable Diseases. [URL]</w:t>
      </w:r>
    </w:p>
    <w:p>
      <w:pPr>
        <w:numPr>
          <w:ilvl w:val="0"/>
          <w:numId w:val="1001"/>
        </w:numPr>
        <w:pStyle w:val="Compact"/>
      </w:pPr>
      <w:r>
        <w:t xml:space="preserve">SHEIKH KHALIFA MEDICAL CITY. (2020). Genomic Research and Precision Medicine in the UAE. [URL]</w:t>
      </w:r>
    </w:p>
    <w:p>
      <w:pPr>
        <w:numPr>
          <w:ilvl w:val="0"/>
          <w:numId w:val="1001"/>
        </w:numPr>
        <w:pStyle w:val="Compact"/>
      </w:pPr>
      <w:r>
        <w:t xml:space="preserve">UAE Vision 2030. (2017). National Strategy for Health Development. [URL]</w:t>
      </w:r>
    </w:p>
    <w:p>
      <w:pPr>
        <w:pStyle w:val="FirstParagraph"/>
      </w:pPr>
      <w:r>
        <w:rPr>
          <w:bCs/>
          <w:b/>
        </w:rPr>
        <w:t xml:space="preserve">Word Count:</w:t>
      </w:r>
      <w:r>
        <w:t xml:space="preserve"> </w:t>
      </w:r>
      <w:r>
        <w:t xml:space="preserve">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the United Arab Emirates Abu Dhabi</dc:title>
  <dc:creator/>
  <dc:language>en</dc:language>
  <cp:keywords/>
  <dcterms:created xsi:type="dcterms:W3CDTF">2026-07-25T06:16:56Z</dcterms:created>
  <dcterms:modified xsi:type="dcterms:W3CDTF">2026-07-25T06:16:56Z</dcterms:modified>
</cp:coreProperties>
</file>

<file path=docProps/custom.xml><?xml version="1.0" encoding="utf-8"?>
<Properties xmlns="http://schemas.openxmlformats.org/officeDocument/2006/custom-properties" xmlns:vt="http://schemas.openxmlformats.org/officeDocument/2006/docPropsVTypes"/>
</file>