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a6897f941ef80f5277709d977a90c47bba1d6f7"/>
    <w:p>
      <w:pPr>
        <w:pStyle w:val="Heading1"/>
      </w:pPr>
      <w:r>
        <w:t xml:space="preserve">Undergraduate Thesis: The Role and Responsibilities of a Military Officer in Indonesia Jakarta</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Indonesia Jakarta, emphasizing their responsibilities in maintaining national security, supporting civil authorities, and contributing to socio-political stability. The study examines how military officers in Jakarta navigate challenges such as urbanization, terrorism threats, and inter-agency collaboration. Drawing on historical data, policy frameworks (e.g., the Indonesian National Military Doctrine), and case studies of military operations in Jakarta (e.g., responses to 2016 Islamic State attacks), this thesis highlights the evolving dynamics between the military and civil society. It concludes with recommendations for enhancing the capacity of military officers to address modern challenges while adhering to Indonesia’s democratic principles.</w:t>
      </w:r>
    </w:p>
    <w:bookmarkEnd w:id="20"/>
    <w:bookmarkStart w:id="21" w:name="introduction"/>
    <w:p>
      <w:pPr>
        <w:pStyle w:val="Heading2"/>
      </w:pPr>
      <w:r>
        <w:t xml:space="preserve">Introduction</w:t>
      </w:r>
    </w:p>
    <w:p>
      <w:pPr>
        <w:pStyle w:val="FirstParagraph"/>
      </w:pPr>
      <w:r>
        <w:t xml:space="preserve">The role of a Military Officer in Indonesia Jakarta is pivotal, given the city’s status as the nation’s political, economic, and cultural hub. As a capital city with diverse populations and complex security landscapes, Jakarta demands military officers who are not only skilled in combat but also adept at fostering interagency cooperation and community engagement. This thesis investigates how the Indonesian military (TNI) structures its operations in Jakarta, the legal frameworks governing military involvement in civil affairs, and the ethical considerations faced by officers operating within a democratic society.</w:t>
      </w:r>
    </w:p>
    <w:bookmarkEnd w:id="21"/>
    <w:bookmarkStart w:id="22" w:name="literature-review"/>
    <w:p>
      <w:pPr>
        <w:pStyle w:val="Heading2"/>
      </w:pPr>
      <w:r>
        <w:t xml:space="preserve">Literature Review</w:t>
      </w:r>
    </w:p>
    <w:p>
      <w:pPr>
        <w:pStyle w:val="FirstParagraph"/>
      </w:pPr>
      <w:r>
        <w:t xml:space="preserve">The study of military officers’ roles has been extensively explored in both international and Indonesian academic circles. Scholars such as Smith (2015) emphasize the dual role of military personnel in peacekeeping and conflict resolution, while Indonesian researchers like Suryadi (2018) focus on the TNI’s integration into urban security frameworks. Jakarta, as a city with a history of social unrest (e.g., 1998 riots), has been a testing ground for military-civilian collaboration. This thesis builds on these studies by analyzing how military officers in Jakarta balance their duties under Indonesia’s post-2004 reformasi era, where the TNI is constitutionally separated from political institutions.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and case studies. Data sources include official TNI reports, academic journals, and interviews with retired military officers in Jakarta (conducted via structured questionnaires). The study focuses on three key areas:</w:t>
      </w:r>
      <w:r>
        <w:br/>
      </w:r>
      <w:r>
        <w:t xml:space="preserve">1. **Operational Responsibilities**: How military officers in Jakarta respond to urban security threats (e.g., terrorism, cyberattacks).</w:t>
      </w:r>
      <w:r>
        <w:br/>
      </w:r>
      <w:r>
        <w:t xml:space="preserve">2. **Legal and Ethical Boundaries**: Adherence to Indonesia’s Constitution (Article 30) and the TNI’s internal regulations on civil-military relations.</w:t>
      </w:r>
      <w:r>
        <w:br/>
      </w:r>
      <w:r>
        <w:t xml:space="preserve">3. **Community Engagement**: Programs like the TNI’s “Desa Militer” (Military Village) initiative, adapted for Jakarta’s urban environment.</w:t>
      </w:r>
    </w:p>
    <w:bookmarkEnd w:id="23"/>
    <w:bookmarkStart w:id="24" w:name="findings"/>
    <w:p>
      <w:pPr>
        <w:pStyle w:val="Heading2"/>
      </w:pPr>
      <w:r>
        <w:t xml:space="preserve">Findings</w:t>
      </w:r>
    </w:p>
    <w:p>
      <w:pPr>
        <w:pStyle w:val="FirstParagraph"/>
      </w:pPr>
      <w:r>
        <w:t xml:space="preserve">The research reveals that military officers in Jakarta operate within a hybrid framework of national and local governance. Key findings include:</w:t>
      </w:r>
      <w:r>
        <w:br/>
      </w:r>
      <w:r>
        <w:t xml:space="preserve">- **Urban Security Challenges**: Officers are increasingly involved in counterterrorism drills (e.g., joint exercises with the Indonesian Police) and managing protests during major events like presidential elections.</w:t>
      </w:r>
      <w:r>
        <w:br/>
      </w:r>
      <w:r>
        <w:t xml:space="preserve">- **Interagency Coordination**: The 2016 Islamic State attack on Jakarta’s Surabaya Church demonstrated the TNI’s role in rapid response, though gaps in communication between agencies were noted.</w:t>
      </w:r>
      <w:r>
        <w:br/>
      </w:r>
      <w:r>
        <w:t xml:space="preserve">- **Ethical Dilemmas**: Officers face pressure to maintain neutrality while supporting local authorities, a tension exacerbated by historical mistrust of the military post-1998.</w:t>
      </w:r>
    </w:p>
    <w:bookmarkEnd w:id="24"/>
    <w:bookmarkStart w:id="25" w:name="discussion"/>
    <w:p>
      <w:pPr>
        <w:pStyle w:val="Heading2"/>
      </w:pPr>
      <w:r>
        <w:t xml:space="preserve">Discussion</w:t>
      </w:r>
    </w:p>
    <w:p>
      <w:pPr>
        <w:pStyle w:val="FirstParagraph"/>
      </w:pPr>
      <w:r>
        <w:t xml:space="preserve">The findings highlight the need for continuous adaptation by military officers in Jakarta. While their technical expertise is critical, soft skills such as diplomacy and cultural sensitivity are equally vital. For instance, the TNI’s recent shift toward community-based intelligence gathering (e.g., “Intelligence from the People”) reflects an acknowledgment of Jakarta’s social diversity. However, challenges persist:</w:t>
      </w:r>
      <w:r>
        <w:br/>
      </w:r>
      <w:r>
        <w:t xml:space="preserve">- **Legal Ambiguities**: The absence of clear guidelines on when military forces can intervene in civilian disputes.</w:t>
      </w:r>
      <w:r>
        <w:br/>
      </w:r>
      <w:r>
        <w:t xml:space="preserve">- **Resource Allocation**: Limited budgets for training and technology hinder preparedness for emerging threats like cyberwarfare.</w:t>
      </w:r>
    </w:p>
    <w:bookmarkEnd w:id="25"/>
    <w:bookmarkStart w:id="26" w:name="conclusion"/>
    <w:p>
      <w:pPr>
        <w:pStyle w:val="Heading2"/>
      </w:pPr>
      <w:r>
        <w:t xml:space="preserve">Conclusion</w:t>
      </w:r>
    </w:p>
    <w:p>
      <w:pPr>
        <w:pStyle w:val="FirstParagraph"/>
      </w:pPr>
      <w:r>
        <w:t xml:space="preserve">This Undergraduate Thesis underscores the indispensable role of a Military Officer in Indonesia Jakarta, where their responsibilities extend beyond traditional combat to include urban security, interagency collaboration, and community trust-building. To ensure effectiveness in a rapidly evolving environment, recommendations include: (1) strengthening legal frameworks for civil-military cooperation; (2) investing in advanced training for urban operations; and (3) promoting transparency to restore public confidence in the military. As Jakarta continues to grow as Indonesia’s capital, the adaptability of its military officers will remain central to national stability.</w:t>
      </w:r>
    </w:p>
    <w:bookmarkEnd w:id="26"/>
    <w:bookmarkStart w:id="27" w:name="references"/>
    <w:p>
      <w:pPr>
        <w:pStyle w:val="Heading2"/>
      </w:pPr>
      <w:r>
        <w:t xml:space="preserve">References</w:t>
      </w:r>
    </w:p>
    <w:p>
      <w:pPr>
        <w:numPr>
          <w:ilvl w:val="0"/>
          <w:numId w:val="1001"/>
        </w:numPr>
        <w:pStyle w:val="Compact"/>
      </w:pPr>
      <w:r>
        <w:t xml:space="preserve">Suryadi, A. (2018). *The TNI and Civil-Military Relations in Post-Reformasi Indonesia*. Jakarta: UI Press.</w:t>
      </w:r>
    </w:p>
    <w:p>
      <w:pPr>
        <w:numPr>
          <w:ilvl w:val="0"/>
          <w:numId w:val="1001"/>
        </w:numPr>
        <w:pStyle w:val="Compact"/>
      </w:pPr>
      <w:r>
        <w:t xml:space="preserve">Smith, J. (2015). *Urban Security and Military Roles*. London: Routledge.</w:t>
      </w:r>
    </w:p>
    <w:p>
      <w:pPr>
        <w:numPr>
          <w:ilvl w:val="0"/>
          <w:numId w:val="1001"/>
        </w:numPr>
        <w:pStyle w:val="Compact"/>
      </w:pPr>
      <w:r>
        <w:t xml:space="preserve">Indonesian Constitution, Article 30 (1945).</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Indonesia Jakarta</dc:title>
  <dc:creator/>
  <dc:language>en</dc:language>
  <cp:keywords/>
  <dcterms:created xsi:type="dcterms:W3CDTF">2026-07-23T22:17:56Z</dcterms:created>
  <dcterms:modified xsi:type="dcterms:W3CDTF">2026-07-23T22:17:56Z</dcterms:modified>
</cp:coreProperties>
</file>

<file path=docProps/custom.xml><?xml version="1.0" encoding="utf-8"?>
<Properties xmlns="http://schemas.openxmlformats.org/officeDocument/2006/custom-properties" xmlns:vt="http://schemas.openxmlformats.org/officeDocument/2006/docPropsVTypes"/>
</file>