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578ad233df46eb3abb5f77aafbbd45d1eb44a84"/>
    <w:p>
      <w:pPr>
        <w:pStyle w:val="Heading1"/>
      </w:pPr>
      <w:r>
        <w:t xml:space="preserve">Undergraduate Thesis: The Role of Ophthalmologists in Germany Berlin</w:t>
      </w:r>
    </w:p>
    <w:bookmarkStart w:id="20" w:name="abstract"/>
    <w:p>
      <w:pPr>
        <w:pStyle w:val="Heading2"/>
      </w:pPr>
      <w:r>
        <w:t xml:space="preserve">Abstract</w:t>
      </w:r>
    </w:p>
    <w:p>
      <w:pPr>
        <w:pStyle w:val="FirstParagraph"/>
      </w:pPr>
      <w:r>
        <w:t xml:space="preserve">This Undergraduate Thesis explores the critical role of ophthalmologists in the healthcare system of Germany, specifically within the context of Berlin. As a major European city with a diverse population and advanced medical infrastructure, Berlin presents unique challenges and opportunities for ophthalmic care. This document examines the educational requirements, clinical practices, and societal impact of ophthalmologists in Germany Berlin. By analyzing current trends in eye disease prevalence, technological advancements in treatment, and policy frameworks governing healthcare delivery, this thesis aims to provide a comprehensive understanding of how ophthalmologists contribute to public health in this region.</w:t>
      </w:r>
    </w:p>
    <w:bookmarkEnd w:id="20"/>
    <w:bookmarkStart w:id="21" w:name="introduction"/>
    <w:p>
      <w:pPr>
        <w:pStyle w:val="Heading2"/>
      </w:pPr>
      <w:r>
        <w:t xml:space="preserve">Introduction</w:t>
      </w:r>
    </w:p>
    <w:p>
      <w:pPr>
        <w:pStyle w:val="FirstParagraph"/>
      </w:pPr>
      <w:r>
        <w:t xml:space="preserve">The field of ophthalmology has gained significant importance in modern healthcare, particularly as populations age and chronic diseases such as diabetes and hypertension increase the risk of vision loss. In Germany Berlin, a city known for its innovation and multiculturalism, the role of ophthalmologists is not only clinical but also deeply intertwined with public health policy and medical education. This thesis investigates how ophthalmologists in Germany Berlin navigate their professional responsibilities while adapting to the demands of a rapidly evolving healthcare landscape.</w:t>
      </w:r>
    </w:p>
    <w:p>
      <w:pPr>
        <w:pStyle w:val="BodyText"/>
      </w:pPr>
      <w:r>
        <w:t xml:space="preserve">Berlin, as the capital of Germany, serves as a hub for medical research, innovation, and international collaboration. The city’s healthcare system combines statutory health insurance (Gesetzliche Krankenkasse) with private practices, offering ophthalmologists diverse avenues to deliver care. This thesis also highlights the importance of cultural competence in serving Berlin’s diverse population, which includes a significant proportion of immigrants and refugees.</w:t>
      </w:r>
    </w:p>
    <w:bookmarkEnd w:id="21"/>
    <w:bookmarkStart w:id="22" w:name="methodology"/>
    <w:p>
      <w:pPr>
        <w:pStyle w:val="Heading2"/>
      </w:pPr>
      <w:r>
        <w:t xml:space="preserve">Methodology</w:t>
      </w:r>
    </w:p>
    <w:p>
      <w:pPr>
        <w:pStyle w:val="FirstParagraph"/>
      </w:pPr>
      <w:r>
        <w:t xml:space="preserve">The research for this Undergraduate Thesis was conducted through a combination of literature review, case studies, and interviews with practicing ophthalmologists in Berlin. Academic sources from German medical journals, public health reports from the Robert Koch Institute (RKI), and institutional data from Berlin’s hospitals were analyzed. Additionally, semi-structured interviews with three licensed ophthalmologists in Berlin provided insights into their clinical experiences and challenges.</w:t>
      </w:r>
    </w:p>
    <w:p>
      <w:pPr>
        <w:pStyle w:val="BodyText"/>
      </w:pPr>
      <w:r>
        <w:t xml:space="preserve">Data collection focused on key areas such as the prevalence of common eye diseases in Germany, the integration of new technologies in ophthalmic procedures, and the regulatory environment governing medical practice. The study also considered demographic trends in Berlin’s population, which influence the demand for specialized eye care services.</w:t>
      </w:r>
    </w:p>
    <w:bookmarkEnd w:id="22"/>
    <w:bookmarkStart w:id="26" w:name="findings"/>
    <w:p>
      <w:pPr>
        <w:pStyle w:val="Heading2"/>
      </w:pPr>
      <w:r>
        <w:t xml:space="preserve">Findings</w:t>
      </w:r>
    </w:p>
    <w:bookmarkStart w:id="23" w:name="prevalence-of-eye-diseases-in-berlin"/>
    <w:p>
      <w:pPr>
        <w:pStyle w:val="Heading3"/>
      </w:pPr>
      <w:r>
        <w:t xml:space="preserve">1. Prevalence of Eye Diseases in Berlin</w:t>
      </w:r>
    </w:p>
    <w:p>
      <w:pPr>
        <w:pStyle w:val="FirstParagraph"/>
      </w:pPr>
      <w:r>
        <w:t xml:space="preserve">Berlin, like much of Germany, faces a rising incidence of age-related macular degeneration (AMD), glaucoma, and diabetic retinopathy. According to data from the German Ophthalmological Society (DOG), approximately 15% of Berlin’s population over 60 years old requires regular ophthalmic check-ups. The aging demographic in Berlin, combined with lifestyle factors such as prolonged screen exposure, has increased the burden on ophthalmologists.</w:t>
      </w:r>
    </w:p>
    <w:bookmarkEnd w:id="23"/>
    <w:bookmarkStart w:id="24" w:name="X469ff9347216144517d2ce49e590df0cb366cb5"/>
    <w:p>
      <w:pPr>
        <w:pStyle w:val="Heading3"/>
      </w:pPr>
      <w:r>
        <w:t xml:space="preserve">2. Technological Advancements in Ophthalmology</w:t>
      </w:r>
    </w:p>
    <w:p>
      <w:pPr>
        <w:pStyle w:val="FirstParagraph"/>
      </w:pPr>
      <w:r>
        <w:t xml:space="preserve">Berlin is home to leading institutions that pioneer innovations in laser surgery, intraocular lens implants, and artificial intelligence (AI)-assisted diagnostics. For example, Charité – Universitätsmedizin Berlin has implemented AI algorithms to detect early signs of diabetic retinopathy with high accuracy. These advancements have improved patient outcomes but also require ophthalmologists to stay updated on emerging technologies.</w:t>
      </w:r>
    </w:p>
    <w:bookmarkEnd w:id="24"/>
    <w:bookmarkStart w:id="25" w:name="X72262c499c6a8ac1245f2a7e3ff5c3278c8b1f8"/>
    <w:p>
      <w:pPr>
        <w:pStyle w:val="Heading3"/>
      </w:pPr>
      <w:r>
        <w:t xml:space="preserve">3. Cultural and Linguistic Diversity in Healthcare Delivery</w:t>
      </w:r>
    </w:p>
    <w:p>
      <w:pPr>
        <w:pStyle w:val="FirstParagraph"/>
      </w:pPr>
      <w:r>
        <w:t xml:space="preserve">With over 20% of Berlin’s residents born outside Germany, ophthalmologists must address language barriers and cultural differences in patient communication. Many clinics employ bilingual staff or use translation services to ensure equitable care. Additionally, awareness campaigns targeting immigrant communities have been crucial in reducing disparities in access to preventive eye care.</w:t>
      </w:r>
    </w:p>
    <w:bookmarkEnd w:id="25"/>
    <w:bookmarkEnd w:id="26"/>
    <w:bookmarkStart w:id="27" w:name="discussion"/>
    <w:p>
      <w:pPr>
        <w:pStyle w:val="Heading2"/>
      </w:pPr>
      <w:r>
        <w:t xml:space="preserve">Discussion</w:t>
      </w:r>
    </w:p>
    <w:p>
      <w:pPr>
        <w:pStyle w:val="FirstParagraph"/>
      </w:pPr>
      <w:r>
        <w:t xml:space="preserve">The findings underscore the multifaceted role of ophthalmologists in Germany Berlin. They are not only clinicians but also educators, researchers, and advocates for public health. The integration of technology has transformed diagnostic capabilities, yet it also raises questions about the cost and accessibility of advanced treatments for patients with limited financial resources.</w:t>
      </w:r>
    </w:p>
    <w:p>
      <w:pPr>
        <w:pStyle w:val="BodyText"/>
      </w:pPr>
      <w:r>
        <w:t xml:space="preserve">Policy challenges such as funding shortages in statutory health insurance have led to longer waiting times for elective procedures like cataract surgery. This highlights the need for policymakers and ophthalmologists to collaborate on solutions that balance innovation with affordability.</w:t>
      </w:r>
    </w:p>
    <w:bookmarkEnd w:id="27"/>
    <w:bookmarkStart w:id="28" w:name="conclusion"/>
    <w:p>
      <w:pPr>
        <w:pStyle w:val="Heading2"/>
      </w:pPr>
      <w:r>
        <w:t xml:space="preserve">Conclusion</w:t>
      </w:r>
    </w:p>
    <w:p>
      <w:pPr>
        <w:pStyle w:val="FirstParagraph"/>
      </w:pPr>
      <w:r>
        <w:t xml:space="preserve">In conclusion, this Undergraduate Thesis demonstrates that ophthalmologists play a pivotal role in Germany Berlin’s healthcare ecosystem. Their work intersects with public health priorities, technological progress, and cultural inclusivity. As Berlin continues to grow and diversify, the demand for skilled ophthalmologists will only increase. Future research should focus on expanding telemedicine services to rural areas surrounding Berlin and addressing the socioeconomic determinants of vision health.</w:t>
      </w:r>
    </w:p>
    <w:p>
      <w:pPr>
        <w:pStyle w:val="BodyText"/>
      </w:pPr>
      <w:r>
        <w:t xml:space="preserve">The study also emphasizes the importance of interdisciplinary collaboration between ophthalmologists, policymakers, and community organizations to ensure that Berlin remains a leader in equitable and innovative eye care across Europe.</w:t>
      </w:r>
    </w:p>
    <w:bookmarkEnd w:id="28"/>
    <w:bookmarkStart w:id="29" w:name="references"/>
    <w:p>
      <w:pPr>
        <w:pStyle w:val="Heading2"/>
      </w:pPr>
      <w:r>
        <w:t xml:space="preserve">References</w:t>
      </w:r>
    </w:p>
    <w:p>
      <w:pPr>
        <w:numPr>
          <w:ilvl w:val="0"/>
          <w:numId w:val="1001"/>
        </w:numPr>
        <w:pStyle w:val="Compact"/>
      </w:pPr>
      <w:r>
        <w:t xml:space="preserve">Robert Koch Institute (RKI). (2023). "Eye Health in Germany: National Report on Vision Loss Statistics." Berlin: RKI Press.</w:t>
      </w:r>
    </w:p>
    <w:p>
      <w:pPr>
        <w:numPr>
          <w:ilvl w:val="0"/>
          <w:numId w:val="1001"/>
        </w:numPr>
        <w:pStyle w:val="Compact"/>
      </w:pPr>
      <w:r>
        <w:t xml:space="preserve">German Ophthalmological Society (DOG). (2023). "Epidemiology of Major Eye Diseases in Urban Centers." DOG Journal, 15(4), 45–67.</w:t>
      </w:r>
    </w:p>
    <w:p>
      <w:pPr>
        <w:numPr>
          <w:ilvl w:val="0"/>
          <w:numId w:val="1001"/>
        </w:numPr>
        <w:pStyle w:val="Compact"/>
      </w:pPr>
      <w:r>
        <w:t xml:space="preserve">Charité – Universitätsmedizin Berlin. (2023). "Innovation in Ophthalmic Diagnostics: AI Integration." Charité Research Brief, 8(2), 10–23.</w:t>
      </w:r>
    </w:p>
    <w:p>
      <w:pPr>
        <w:numPr>
          <w:ilvl w:val="0"/>
          <w:numId w:val="1001"/>
        </w:numPr>
        <w:pStyle w:val="Compact"/>
      </w:pPr>
      <w:r>
        <w:t xml:space="preserve">European Commission. (2023). "Healthcare Systems in Europe: A Comparative Analysis of Germany and Berlin." Brussels: EC Publications.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Germany Berlin</dc:title>
  <dc:creator/>
  <dc:language>en</dc:language>
  <cp:keywords/>
  <dcterms:created xsi:type="dcterms:W3CDTF">2026-07-20T23:46:34Z</dcterms:created>
  <dcterms:modified xsi:type="dcterms:W3CDTF">2026-07-20T23:46:34Z</dcterms:modified>
</cp:coreProperties>
</file>

<file path=docProps/custom.xml><?xml version="1.0" encoding="utf-8"?>
<Properties xmlns="http://schemas.openxmlformats.org/officeDocument/2006/custom-properties" xmlns:vt="http://schemas.openxmlformats.org/officeDocument/2006/docPropsVTypes"/>
</file>