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30f81834534b2bec5423a7d7744f6fcc81a5a8a"/>
    <w:p>
      <w:pPr>
        <w:pStyle w:val="Heading1"/>
      </w:pPr>
      <w:r>
        <w:t xml:space="preserve">Undergraduate Thesis: The Role and Challenges of Optometrists in Malaysia Kuala Lumpur</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in Malaysia Kuala Lumpur. As urbanization accelerates and population density increases, the demand for specialized eye care services has surged. Optometrists play a pivotal role in diagnosing vision disorders, managing ocular diseases, and ensuring access to corrective measures such as spectacles or contact lenses. This study examines the current landscape of optometry practice in Kuala Lumpur, highlighting challenges such as healthcare accessibility, workforce distribution, and public awareness campaigns. It also proposes recommendations to enhance the integration of optometrists into Malaysia’s national healthcare framework while aligning with local cultural and economic contexts.</w:t>
      </w:r>
    </w:p>
    <w:bookmarkEnd w:id="20"/>
    <w:bookmarkStart w:id="21" w:name="introduction"/>
    <w:p>
      <w:pPr>
        <w:pStyle w:val="Heading2"/>
      </w:pPr>
      <w:r>
        <w:t xml:space="preserve">1. Introduction</w:t>
      </w:r>
    </w:p>
    <w:p>
      <w:pPr>
        <w:pStyle w:val="FirstParagraph"/>
      </w:pPr>
      <w:r>
        <w:t xml:space="preserve">Malaysia Kuala Lumpur, as the capital city of Malaysia, serves as a hub for medical professionals, including optometrists. With a rapidly growing population and an increasing prevalence of lifestyle-related eye conditions (e.g., myopia and diabetic retinopathy), the role of optometrists has become indispensable. This thesis aims to evaluate how optometrists in Kuala Lumpur contribute to public health, address systemic gaps in vision care, and adapt to evolving patient needs. It also investigates the alignment between local optometry education programs and international standards, ensuring that graduates are equipped to meet Malaysia’s unique healthcare demands.</w:t>
      </w:r>
    </w:p>
    <w:bookmarkEnd w:id="21"/>
    <w:bookmarkStart w:id="22" w:name="literature-review"/>
    <w:p>
      <w:pPr>
        <w:pStyle w:val="Heading2"/>
      </w:pPr>
      <w:r>
        <w:t xml:space="preserve">2. Literature Review</w:t>
      </w:r>
    </w:p>
    <w:p>
      <w:pPr>
        <w:pStyle w:val="FirstParagraph"/>
      </w:pPr>
      <w:r>
        <w:t xml:space="preserve">The field of optometry in Malaysia has grown significantly over the past decade, driven by government initiatives to improve primary healthcare access. However, disparities persist in urban versus rural areas, with Kuala Lumpur facing higher demand due to its population density and economic activity. Studies highlight that optometrists in cities like Kuala Lumpur often encounter challenges such as long wait times for appointments and limited resources for patients with complex ocular conditions (e.g., glaucoma). Additionally, the integration of optometrists into multidisciplinary healthcare teams remains underdeveloped, limiting their potential to contribute to broader public health strategies.</w:t>
      </w:r>
    </w:p>
    <w:bookmarkEnd w:id="22"/>
    <w:bookmarkStart w:id="23" w:name="methodology"/>
    <w:p>
      <w:pPr>
        <w:pStyle w:val="Heading2"/>
      </w:pPr>
      <w:r>
        <w:t xml:space="preserve">3. Methodology</w:t>
      </w:r>
    </w:p>
    <w:p>
      <w:pPr>
        <w:pStyle w:val="FirstParagraph"/>
      </w:pPr>
      <w:r>
        <w:t xml:space="preserve">This thesis employs a qualitative research approach, combining primary and secondary data sources. Primary data was gathered through semi-structured interviews with optometrists practicing in Kuala Lumpur and surveys distributed to patients receiving eye care services. Secondary data includes published reports from the Malaysian Ministry of Health, academic journals on optometry education in Malaysia, and policy documents outlining healthcare priorities for 2023–2035.</w:t>
      </w:r>
    </w:p>
    <w:bookmarkEnd w:id="23"/>
    <w:bookmarkStart w:id="24" w:name="key-findings"/>
    <w:p>
      <w:pPr>
        <w:pStyle w:val="Heading2"/>
      </w:pPr>
      <w:r>
        <w:t xml:space="preserve">4. Key Findings</w:t>
      </w:r>
    </w:p>
    <w:p>
      <w:pPr>
        <w:pStyle w:val="FirstParagraph"/>
      </w:pPr>
      <w:r>
        <w:rPr>
          <w:bCs/>
          <w:b/>
        </w:rPr>
        <w:t xml:space="preserve">4.1 Role of Optometrists in Kuala Lumpur</w:t>
      </w:r>
      <w:r>
        <w:br/>
      </w:r>
      <w:r>
        <w:t xml:space="preserve">Optometrists in Kuala Lumpur are primarily responsible for conducting comprehensive eye examinations, prescribing corrective lenses, and referring patients to ophthalmologists for specialized care. Their role has expanded beyond traditional duties to include community outreach programs, such as free vision screenings in underserved neighborhoods.</w:t>
      </w:r>
    </w:p>
    <w:p>
      <w:pPr>
        <w:pStyle w:val="BodyText"/>
      </w:pPr>
      <w:r>
        <w:rPr>
          <w:bCs/>
          <w:b/>
        </w:rPr>
        <w:t xml:space="preserve">4.2 Challenges</w:t>
      </w:r>
      <w:r>
        <w:br/>
      </w:r>
      <w:r>
        <w:t xml:space="preserve">Several challenges were identified: (1) Overburdened clinics due to high patient volume, (2) Limited collaboration with public hospitals and general practitioners, and (3) A shortage of optometrists trained in managing ocular diseases like diabetic retinopathy. These issues are exacerbated by the lack of standardized protocols for optometrists to operate independently within Malaysia’s healthcare system.</w:t>
      </w:r>
    </w:p>
    <w:p>
      <w:pPr>
        <w:pStyle w:val="BodyText"/>
      </w:pPr>
      <w:r>
        <w:rPr>
          <w:bCs/>
          <w:b/>
        </w:rPr>
        <w:t xml:space="preserve">4.3 Opportunities</w:t>
      </w:r>
      <w:r>
        <w:br/>
      </w:r>
      <w:r>
        <w:t xml:space="preserve">The rise of private eye clinics and telemedicine platforms offers new avenues for optometrists to reach patients in Kuala Lumpur. Additionally, partnerships with local universities could enhance training programs, ensuring graduates are proficient in both clinical skills and cultural competency for Malaysia’s diverse population.</w:t>
      </w:r>
    </w:p>
    <w:bookmarkEnd w:id="24"/>
    <w:bookmarkStart w:id="25" w:name="recommendations"/>
    <w:p>
      <w:pPr>
        <w:pStyle w:val="Heading2"/>
      </w:pPr>
      <w:r>
        <w:t xml:space="preserve">5. Recommendations</w:t>
      </w:r>
    </w:p>
    <w:p>
      <w:pPr>
        <w:numPr>
          <w:ilvl w:val="0"/>
          <w:numId w:val="1001"/>
        </w:numPr>
        <w:pStyle w:val="Compact"/>
      </w:pPr>
      <w:r>
        <w:rPr>
          <w:bCs/>
          <w:b/>
        </w:rPr>
        <w:t xml:space="preserve">Policy Integration:</w:t>
      </w:r>
      <w:r>
        <w:t xml:space="preserve"> </w:t>
      </w:r>
      <w:r>
        <w:t xml:space="preserve">Advocate for the inclusion of optometrists in Malaysia’s national health insurance schemes to ensure equitable access to vision care across Kuala Lumpur.</w:t>
      </w:r>
    </w:p>
    <w:p>
      <w:pPr>
        <w:numPr>
          <w:ilvl w:val="0"/>
          <w:numId w:val="1001"/>
        </w:numPr>
        <w:pStyle w:val="Compact"/>
      </w:pPr>
      <w:r>
        <w:rPr>
          <w:bCs/>
          <w:b/>
        </w:rPr>
        <w:t xml:space="preserve">Educational Reforms:</w:t>
      </w:r>
      <w:r>
        <w:t xml:space="preserve"> </w:t>
      </w:r>
      <w:r>
        <w:t xml:space="preserve">Develop curricula that emphasize ocular disease management and cross-disciplinary collaboration, aligning with global optometry standards.</w:t>
      </w:r>
    </w:p>
    <w:p>
      <w:pPr>
        <w:numPr>
          <w:ilvl w:val="0"/>
          <w:numId w:val="1001"/>
        </w:numPr>
        <w:pStyle w:val="Compact"/>
      </w:pPr>
      <w:r>
        <w:rPr>
          <w:bCs/>
          <w:b/>
        </w:rPr>
        <w:t xml:space="preserve">Public Awareness Campaigns:</w:t>
      </w:r>
      <w:r>
        <w:t xml:space="preserve"> </w:t>
      </w:r>
      <w:r>
        <w:t xml:space="preserve">Launch initiatives to educate the public in Kuala Lumpur about the importance of regular eye checkups and the role of optometrists in early disease detection.</w:t>
      </w:r>
    </w:p>
    <w:bookmarkEnd w:id="25"/>
    <w:bookmarkStart w:id="26" w:name="conclusion"/>
    <w:p>
      <w:pPr>
        <w:pStyle w:val="Heading2"/>
      </w:pPr>
      <w:r>
        <w:t xml:space="preserve">6. Conclusion</w:t>
      </w:r>
    </w:p>
    <w:p>
      <w:pPr>
        <w:pStyle w:val="FirstParagraph"/>
      </w:pPr>
      <w:r>
        <w:t xml:space="preserve">In conclusion, optometrists are vital to Malaysia Kuala Lumpur’s healthcare ecosystem, yet their full potential remains untapped due to systemic barriers. This Undergraduate Thesis underscores the need for policy reforms, enhanced education, and community engagement to strengthen the role of optometrists in addressing eye health challenges. By prioritizing these areas, Malaysia can ensure that all residents—especially those in urban centers like Kuala Lumpur—have access to high-quality, affordable vision care.</w:t>
      </w:r>
    </w:p>
    <w:bookmarkEnd w:id="26"/>
    <w:bookmarkStart w:id="27" w:name="references"/>
    <w:p>
      <w:pPr>
        <w:pStyle w:val="Heading2"/>
      </w:pPr>
      <w:r>
        <w:t xml:space="preserve">References</w:t>
      </w:r>
    </w:p>
    <w:p>
      <w:pPr>
        <w:pStyle w:val="FirstParagraph"/>
      </w:pPr>
      <w:r>
        <w:t xml:space="preserve">(Include a list of academic sources, government publications, and medical journals cited in the thesis. Example: Malaysian Ministry of Health (2023), “National Eye Health Strategy,” Journal of Optometry and Vision Science (Vol. 15, Issue 3), etc.)</w:t>
      </w:r>
    </w:p>
    <w:bookmarkEnd w:id="27"/>
    <w:bookmarkStart w:id="28" w:name="appendices"/>
    <w:p>
      <w:pPr>
        <w:pStyle w:val="Heading2"/>
      </w:pPr>
      <w:r>
        <w:t xml:space="preserve">Appendices</w:t>
      </w:r>
    </w:p>
    <w:p>
      <w:pPr>
        <w:pStyle w:val="FirstParagraph"/>
      </w:pPr>
      <w:r>
        <w:t xml:space="preserve">(Include supplementary materials such as survey questionnaires, interview transcripts, or data tables if required by the thesis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Malaysia Kuala Lumpur</dc:title>
  <dc:creator/>
  <dc:language>en</dc:language>
  <cp:keywords/>
  <dcterms:created xsi:type="dcterms:W3CDTF">2026-07-23T12:11:58Z</dcterms:created>
  <dcterms:modified xsi:type="dcterms:W3CDTF">2026-07-23T12:11:58Z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