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Public</w:t>
      </w:r>
      <w:r>
        <w:t xml:space="preserve"> </w:t>
      </w:r>
      <w:r>
        <w:t xml:space="preserve">Policy</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86665901407d744b4d60393f77078b5c206d90f"/>
    <w:p>
      <w:pPr>
        <w:pStyle w:val="Heading1"/>
      </w:pPr>
      <w:r>
        <w:t xml:space="preserve">Undergraduate Thesis: The Role of Politicians in Shaping Public Policy in Iran Tehran</w:t>
      </w:r>
    </w:p>
    <w:bookmarkStart w:id="20" w:name="abstract"/>
    <w:p>
      <w:pPr>
        <w:pStyle w:val="Heading2"/>
      </w:pPr>
      <w:r>
        <w:t xml:space="preserve">Abstract</w:t>
      </w:r>
    </w:p>
    <w:p>
      <w:pPr>
        <w:pStyle w:val="FirstParagraph"/>
      </w:pPr>
      <w:r>
        <w:t xml:space="preserve">This undergraduate thesis explores the influence of politicians on public policy formulation and implementation in Iran, with a specific focus on Tehran. As the capital and largest city of Iran, Tehran serves as a microcosm of national political dynamics while reflecting unique local challenges. The study examines how politicians in Tehran navigate the complexities of governance under the Islamic Republic system, balancing religious mandates, economic constraints, and societal expectations. By analyzing historical policies and contemporary political strategies, this thesis highlights the interplay between individual leadership styles and institutional frameworks in shaping Iran's urban development.</w:t>
      </w:r>
    </w:p>
    <w:bookmarkEnd w:id="20"/>
    <w:bookmarkStart w:id="21" w:name="introduction"/>
    <w:p>
      <w:pPr>
        <w:pStyle w:val="Heading2"/>
      </w:pPr>
      <w:r>
        <w:t xml:space="preserve">1. Introduction</w:t>
      </w:r>
    </w:p>
    <w:p>
      <w:pPr>
        <w:pStyle w:val="FirstParagraph"/>
      </w:pPr>
      <w:r>
        <w:t xml:space="preserve">The role of politicians in any society is pivotal to the realization of national goals and public welfare. In Iran, where governance is deeply intertwined with religious ideology, the influence of politicians extends beyond policy-making to encompass cultural, economic, and social spheres. Tehran, as a political and economic hub, presents a unique case for studying this dynamic. This thesis investigates how politicians in Tehran have historically shaped policies related to urban infrastructure, education reform, and social welfare while adhering to the principles of the Islamic Republic.</w:t>
      </w:r>
    </w:p>
    <w:bookmarkEnd w:id="21"/>
    <w:bookmarkStart w:id="22" w:name="the-political-landscape-of-iran"/>
    <w:p>
      <w:pPr>
        <w:pStyle w:val="Heading2"/>
      </w:pPr>
      <w:r>
        <w:t xml:space="preserve">2. The Political Landscape of Iran</w:t>
      </w:r>
    </w:p>
    <w:p>
      <w:pPr>
        <w:pStyle w:val="FirstParagraph"/>
      </w:pPr>
      <w:r>
        <w:t xml:space="preserve">The Islamic Republic of Iran is a theocratic semi-presidential republic where power is distributed between elected officials and religious institutions. Politicians in Iran must operate within a framework defined by Article 5 of the Constitution, which establishes the Supreme Leader as the highest authority. In Tehran, local politicians often face dual pressures: compliance with national mandates from Tehran and addressing localized needs such as traffic congestion, housing shortages, and environmental degradation.</w:t>
      </w:r>
    </w:p>
    <w:p>
      <w:pPr>
        <w:numPr>
          <w:ilvl w:val="0"/>
          <w:numId w:val="1001"/>
        </w:numPr>
        <w:pStyle w:val="Compact"/>
      </w:pPr>
      <w:r>
        <w:rPr>
          <w:bCs/>
          <w:b/>
        </w:rPr>
        <w:t xml:space="preserve">Key Challenges:</w:t>
      </w:r>
      <w:r>
        <w:t xml:space="preserve"> </w:t>
      </w:r>
      <w:r>
        <w:t xml:space="preserve">Sanctions, economic instability, and political polarization.</w:t>
      </w:r>
    </w:p>
    <w:p>
      <w:pPr>
        <w:numPr>
          <w:ilvl w:val="0"/>
          <w:numId w:val="1001"/>
        </w:numPr>
        <w:pStyle w:val="Compact"/>
      </w:pPr>
      <w:r>
        <w:rPr>
          <w:bCs/>
          <w:b/>
        </w:rPr>
        <w:t xml:space="preserve">Pivotal Policies:</w:t>
      </w:r>
      <w:r>
        <w:t xml:space="preserve"> </w:t>
      </w:r>
      <w:r>
        <w:t xml:space="preserve">Urban renewal projects under the "Tehran 2025" plan and public transportation reforms.</w:t>
      </w:r>
    </w:p>
    <w:bookmarkEnd w:id="22"/>
    <w:bookmarkStart w:id="23" w:name="case-study-politicians-in-tehran"/>
    <w:p>
      <w:pPr>
        <w:pStyle w:val="Heading2"/>
      </w:pPr>
      <w:r>
        <w:t xml:space="preserve">3. Case Study: Politicians in Tehran</w:t>
      </w:r>
    </w:p>
    <w:p>
      <w:pPr>
        <w:pStyle w:val="FirstParagraph"/>
      </w:pPr>
      <w:r>
        <w:t xml:space="preserve">Tehran's political landscape has been shaped by figures such as [Name of Prominent Politician], who served as mayor during a period of rapid urbanization. Their tenure exemplifies the tension between modernization goals and adherence to religious norms. For instance, infrastructure projects like the expansion of metro lines required navigating bureaucratic hurdles while ensuring alignment with state policies.</w:t>
      </w:r>
    </w:p>
    <w:bookmarkEnd w:id="23"/>
    <w:bookmarkStart w:id="24" w:name="methodology"/>
    <w:p>
      <w:pPr>
        <w:pStyle w:val="Heading2"/>
      </w:pPr>
      <w:r>
        <w:t xml:space="preserve">4. Methodology</w:t>
      </w:r>
    </w:p>
    <w:p>
      <w:pPr>
        <w:pStyle w:val="FirstParagraph"/>
      </w:pPr>
      <w:r>
        <w:t xml:space="preserve">This study employs a qualitative approach, utilizing secondary sources including academic journals, government reports, and news articles from 2010 to 2023. A case study analysis of Tehran's political developments provides insights into how individual politicians influence broader national discourse.</w:t>
      </w:r>
    </w:p>
    <w:bookmarkEnd w:id="24"/>
    <w:bookmarkStart w:id="25" w:name="findings-and-analysis"/>
    <w:p>
      <w:pPr>
        <w:pStyle w:val="Heading2"/>
      </w:pPr>
      <w:r>
        <w:t xml:space="preserve">5. Findings and Analysis</w:t>
      </w:r>
    </w:p>
    <w:p>
      <w:pPr>
        <w:pStyle w:val="FirstParagraph"/>
      </w:pPr>
      <w:r>
        <w:t xml:space="preserve">The analysis reveals that politicians in Tehran often act as intermediaries between the central government and citizens, translating national policies into local action. For example, educational reforms under [Name] emphasized both secular curricula and Islamic values, reflecting a compromise between ideological mandates and public demand for modernization.</w:t>
      </w:r>
    </w:p>
    <w:p>
      <w:pPr>
        <w:numPr>
          <w:ilvl w:val="0"/>
          <w:numId w:val="1002"/>
        </w:numPr>
        <w:pStyle w:val="Compact"/>
      </w:pPr>
      <w:r>
        <w:rPr>
          <w:bCs/>
          <w:b/>
        </w:rPr>
        <w:t xml:space="preserve">Successes:</w:t>
      </w:r>
      <w:r>
        <w:t xml:space="preserve"> </w:t>
      </w:r>
      <w:r>
        <w:t xml:space="preserve">Improved access to public services through decentralized governance models.</w:t>
      </w:r>
    </w:p>
    <w:p>
      <w:pPr>
        <w:numPr>
          <w:ilvl w:val="0"/>
          <w:numId w:val="1002"/>
        </w:numPr>
        <w:pStyle w:val="Compact"/>
      </w:pPr>
      <w:r>
        <w:rPr>
          <w:bCs/>
          <w:b/>
        </w:rPr>
        <w:t xml:space="preserve">Critiques:</w:t>
      </w:r>
      <w:r>
        <w:t xml:space="preserve"> </w:t>
      </w:r>
      <w:r>
        <w:t xml:space="preserve">Limited autonomy in addressing corruption and economic mismanagement due to national oversight.</w:t>
      </w:r>
    </w:p>
    <w:bookmarkEnd w:id="25"/>
    <w:bookmarkStart w:id="26" w:name="conclusion"/>
    <w:p>
      <w:pPr>
        <w:pStyle w:val="Heading2"/>
      </w:pPr>
      <w:r>
        <w:t xml:space="preserve">6. Conclusion</w:t>
      </w:r>
    </w:p>
    <w:p>
      <w:pPr>
        <w:pStyle w:val="FirstParagraph"/>
      </w:pPr>
      <w:r>
        <w:t xml:space="preserve">The study underscores the critical role of politicians in Tehran as architects of policy that balance religious, cultural, and practical considerations. While their influence is constrained by the Islamic Republic's institutional structure, their ability to adapt policies to local needs highlights the importance of grassroots engagement in Iranian politics. Future research could explore comparative studies with other urban centers or longitudinal analyses of policy outcomes.</w:t>
      </w:r>
    </w:p>
    <w:bookmarkEnd w:id="26"/>
    <w:bookmarkStart w:id="27" w:name="references"/>
    <w:p>
      <w:pPr>
        <w:pStyle w:val="Heading2"/>
      </w:pPr>
      <w:r>
        <w:t xml:space="preserve">References</w:t>
      </w:r>
    </w:p>
    <w:p>
      <w:pPr>
        <w:numPr>
          <w:ilvl w:val="0"/>
          <w:numId w:val="1003"/>
        </w:numPr>
        <w:pStyle w:val="Compact"/>
      </w:pPr>
      <w:r>
        <w:t xml:space="preserve">Gheytari, A. (2016). "Power and Governance in Iran: The Role of the Supreme Leader." Middle East Journal, 70(3), 45-67.</w:t>
      </w:r>
    </w:p>
    <w:p>
      <w:pPr>
        <w:numPr>
          <w:ilvl w:val="0"/>
          <w:numId w:val="1003"/>
        </w:numPr>
        <w:pStyle w:val="Compact"/>
      </w:pPr>
      <w:r>
        <w:t xml:space="preserve">Karshenas, M. (2018). "Urbanization and Politics in Tehran." Iranian Studies, 51(4), 12-29.</w:t>
      </w:r>
    </w:p>
    <w:p>
      <w:pPr>
        <w:numPr>
          <w:ilvl w:val="0"/>
          <w:numId w:val="1003"/>
        </w:numPr>
        <w:pStyle w:val="Compact"/>
      </w:pPr>
      <w:r>
        <w:t xml:space="preserve">Government of Iran (2021). "Tehran Development Plan: Vision for 2030." Ministry of Urban Affairs.</w:t>
      </w:r>
    </w:p>
    <w:p>
      <w:pPr>
        <w:pStyle w:val="FirstParagraph"/>
      </w:pPr>
      <w:r>
        <w:rPr>
          <w:iCs/>
          <w:i/>
        </w:rPr>
        <w:t xml:space="preserve">Note: This document is a simulated undergraduate thesis and does not represent official academic work. All references are illustrative and should be verified with appropriate sources.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Shaping Public Policy in Iran Tehran</dc:title>
  <dc:creator/>
  <dc:language>en</dc:language>
  <cp:keywords/>
  <dcterms:created xsi:type="dcterms:W3CDTF">2026-07-20T23:41:22Z</dcterms:created>
  <dcterms:modified xsi:type="dcterms:W3CDTF">2026-07-20T23:41:22Z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