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Secondary</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0" w:name="Xe872de0dfc97a72fbdadd4a2a5d672d792bd60f"/>
    <w:p>
      <w:pPr>
        <w:pStyle w:val="Heading1"/>
      </w:pPr>
      <w:r>
        <w:t xml:space="preserve">Undergraduate Thesis: The Role of Teacher Secondary in Spain Barcelona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Barcelona</w:t>
      </w:r>
      <w:r>
        <w:br/>
      </w:r>
      <w:r>
        <w:rPr>
          <w:bCs/>
          <w:b/>
        </w:rPr>
        <w:t xml:space="preserve">Date:</w:t>
      </w:r>
      <w:r>
        <w:t xml:space="preserve"> </w:t>
      </w:r>
      <w:r>
        <w:t xml:space="preserve">April 2024</w:t>
      </w:r>
    </w:p>
    <w:bookmarkEnd w:id="20"/>
    <w:bookmarkStart w:id="21" w:name="abstract"/>
    <w:p>
      <w:pPr>
        <w:pStyle w:val="Heading2"/>
      </w:pPr>
      <w:r>
        <w:t xml:space="preserve">Abstract</w:t>
      </w:r>
    </w:p>
    <w:p>
      <w:pPr>
        <w:pStyle w:val="FirstParagraph"/>
      </w:pPr>
      <w:r>
        <w:t xml:space="preserve">This Undergraduate Thesis explores the multifaceted role of secondary school teachers in Spain, with a specific focus on the educational landscape of Barcelona. By examining pedagogical challenges, cultural dynamics, and policy frameworks unique to this region, the study highlights how Teacher Secondary professionals contribute to shaping the future of students in a rapidly evolving society. The research combines theoretical analysis with case studies from local institutions to address key issues such as inclusion, digital integration, and curriculum adaptation under Spain's current educational reforms.</w:t>
      </w:r>
    </w:p>
    <w:bookmarkEnd w:id="21"/>
    <w:bookmarkStart w:id="22" w:name="introduction"/>
    <w:p>
      <w:pPr>
        <w:pStyle w:val="Heading2"/>
      </w:pPr>
      <w:r>
        <w:t xml:space="preserve">Introduction</w:t>
      </w:r>
    </w:p>
    <w:p>
      <w:pPr>
        <w:pStyle w:val="FirstParagraph"/>
      </w:pPr>
      <w:r>
        <w:t xml:space="preserve">In the context of Spain’s evolving education system, Teacher Secondary professionals in Barcelona face a unique set of responsibilities. As educators in compulsory secondary education (ESO) and high school (Bachillerato), they must navigate a diverse student population, adhere to national curriculum guidelines, and adapt to local cultural nuances. Barcelona’s status as a global hub for innovation, tourism, and multiculturalism further complicates the role of Teacher Secondary by requiring flexibility in teaching methodologies and cross-cultural communication.</w:t>
      </w:r>
    </w:p>
    <w:p>
      <w:pPr>
        <w:pStyle w:val="BodyText"/>
      </w:pPr>
      <w:r>
        <w:t xml:space="preserve">This thesis aims to analyze how secondary teachers in Barcelona manage these challenges while fostering academic excellence and social inclusion. It also investigates the impact of recent educational policies—such as Spain’s 2023 LOMLOE (Ley Orgánica de Modificación de la Ley Orgánica de Educación)—on pedagogical practices in this region.</w:t>
      </w:r>
    </w:p>
    <w:bookmarkEnd w:id="22"/>
    <w:bookmarkStart w:id="23" w:name="theoretical-framework"/>
    <w:p>
      <w:pPr>
        <w:pStyle w:val="Heading2"/>
      </w:pPr>
      <w:r>
        <w:t xml:space="preserve">Theoretical Framework</w:t>
      </w:r>
    </w:p>
    <w:p>
      <w:pPr>
        <w:pStyle w:val="FirstParagraph"/>
      </w:pPr>
      <w:r>
        <w:t xml:space="preserve">The role of Teacher Secondary is grounded in educational theories emphasizing student-centered learning, constructivism, and differentiated instruction. In Barcelona, these principles are amplified by the city’s commitment to inclusive education and linguistic diversity. For instance, the Catalan language shares official status with Spanish in Catalonia, necessitating bilingual pedagogy across disciplines.</w:t>
      </w:r>
    </w:p>
    <w:p>
      <w:pPr>
        <w:pStyle w:val="BodyText"/>
      </w:pPr>
      <w:r>
        <w:t xml:space="preserve">Key theoretical models include:</w:t>
      </w:r>
    </w:p>
    <w:p>
      <w:pPr>
        <w:numPr>
          <w:ilvl w:val="0"/>
          <w:numId w:val="1001"/>
        </w:numPr>
        <w:pStyle w:val="Compact"/>
      </w:pPr>
      <w:r>
        <w:rPr>
          <w:bCs/>
          <w:b/>
        </w:rPr>
        <w:t xml:space="preserve">Constructivism</w:t>
      </w:r>
      <w:r>
        <w:t xml:space="preserve">: Encouraging active learning through collaboration and real-world problem-solving.</w:t>
      </w:r>
    </w:p>
    <w:p>
      <w:pPr>
        <w:numPr>
          <w:ilvl w:val="0"/>
          <w:numId w:val="1001"/>
        </w:numPr>
        <w:pStyle w:val="Compact"/>
      </w:pPr>
      <w:r>
        <w:rPr>
          <w:bCs/>
          <w:b/>
        </w:rPr>
        <w:t xml:space="preserve">Cultural-Historical Activity Theory (CHAT)</w:t>
      </w:r>
      <w:r>
        <w:t xml:space="preserve">: Addressing the interplay between education, social context, and technological integration in multicultural classrooms.</w:t>
      </w:r>
    </w:p>
    <w:p>
      <w:pPr>
        <w:numPr>
          <w:ilvl w:val="0"/>
          <w:numId w:val="1001"/>
        </w:numPr>
        <w:pStyle w:val="Compact"/>
      </w:pPr>
      <w:r>
        <w:rPr>
          <w:bCs/>
          <w:b/>
        </w:rPr>
        <w:t xml:space="preserve">Universal Design for Learning (UDL)</w:t>
      </w:r>
      <w:r>
        <w:t xml:space="preserve">: Adapting curricula to meet diverse student needs, particularly in Barcelona’s socioeconomically varied neighborhoods.</w:t>
      </w:r>
    </w:p>
    <w:bookmarkEnd w:id="23"/>
    <w:bookmarkStart w:id="24" w:name="methodology"/>
    <w:p>
      <w:pPr>
        <w:pStyle w:val="Heading2"/>
      </w:pPr>
      <w:r>
        <w:t xml:space="preserve">Methodology</w:t>
      </w:r>
    </w:p>
    <w:p>
      <w:pPr>
        <w:pStyle w:val="FirstParagraph"/>
      </w:pPr>
      <w:r>
        <w:t xml:space="preserve">This research employs a qualitative approach, combining literature review, interviews with secondary school teachers in Barcelona, and analysis of institutional reports. Data collection focused on three key areas:</w:t>
      </w:r>
    </w:p>
    <w:p>
      <w:pPr>
        <w:numPr>
          <w:ilvl w:val="0"/>
          <w:numId w:val="1002"/>
        </w:numPr>
        <w:pStyle w:val="Compact"/>
      </w:pPr>
      <w:r>
        <w:rPr>
          <w:bCs/>
          <w:b/>
        </w:rPr>
        <w:t xml:space="preserve">Curriculum Implementation</w:t>
      </w:r>
      <w:r>
        <w:t xml:space="preserve">: How national standards align with local priorities in schools such as Colegio Público Montilivi and IES Vila-robit.</w:t>
      </w:r>
    </w:p>
    <w:p>
      <w:pPr>
        <w:numPr>
          <w:ilvl w:val="0"/>
          <w:numId w:val="1002"/>
        </w:numPr>
        <w:pStyle w:val="Compact"/>
      </w:pPr>
      <w:r>
        <w:rPr>
          <w:bCs/>
          <w:b/>
        </w:rPr>
        <w:t xml:space="preserve">Technological Integration</w:t>
      </w:r>
      <w:r>
        <w:t xml:space="preserve">: Case studies on the adoption of digital tools like Google Classroom and AI-driven tutoring platforms in Barcelona’s public and private schools.</w:t>
      </w:r>
    </w:p>
    <w:p>
      <w:pPr>
        <w:numPr>
          <w:ilvl w:val="0"/>
          <w:numId w:val="1002"/>
        </w:numPr>
        <w:pStyle w:val="Compact"/>
      </w:pPr>
      <w:r>
        <w:rPr>
          <w:bCs/>
          <w:b/>
        </w:rPr>
        <w:t xml:space="preserve">Socioemotional Challenges</w:t>
      </w:r>
      <w:r>
        <w:t xml:space="preserve">: Teacher perspectives on managing student mental health, socioeconomic disparities, and the pressures of standardized assessments.</w:t>
      </w:r>
    </w:p>
    <w:bookmarkEnd w:id="24"/>
    <w:bookmarkStart w:id="25" w:name="X654efdb4cffb12880bf30a4d52e340384cbea53"/>
    <w:p>
      <w:pPr>
        <w:pStyle w:val="Heading2"/>
      </w:pPr>
      <w:r>
        <w:t xml:space="preserve">Case Study: Barcelona’s Secondary Education Ecosystem</w:t>
      </w:r>
    </w:p>
    <w:p>
      <w:pPr>
        <w:pStyle w:val="FirstParagraph"/>
      </w:pPr>
      <w:r>
        <w:t xml:space="preserve">Barcelona’s secondary schools are a microcosm of Spain’s broader educational transformation. Teachers here must balance national mandates with local initiatives, such as:</w:t>
      </w:r>
    </w:p>
    <w:p>
      <w:pPr>
        <w:numPr>
          <w:ilvl w:val="0"/>
          <w:numId w:val="1003"/>
        </w:numPr>
        <w:pStyle w:val="Compact"/>
      </w:pPr>
      <w:r>
        <w:rPr>
          <w:bCs/>
          <w:b/>
        </w:rPr>
        <w:t xml:space="preserve">Bilingual Education</w:t>
      </w:r>
      <w:r>
        <w:t xml:space="preserve">: Teaching subjects in both Catalan and Spanish to promote linguistic equality.</w:t>
      </w:r>
    </w:p>
    <w:p>
      <w:pPr>
        <w:numPr>
          <w:ilvl w:val="0"/>
          <w:numId w:val="1003"/>
        </w:numPr>
        <w:pStyle w:val="Compact"/>
      </w:pPr>
      <w:r>
        <w:rPr>
          <w:bCs/>
          <w:b/>
        </w:rPr>
        <w:t xml:space="preserve">Extracurricular Programs</w:t>
      </w:r>
      <w:r>
        <w:t xml:space="preserve">: Partnering with NGOs to offer vocational training and arts education in underserved communities.</w:t>
      </w:r>
    </w:p>
    <w:p>
      <w:pPr>
        <w:numPr>
          <w:ilvl w:val="0"/>
          <w:numId w:val="1003"/>
        </w:numPr>
        <w:pStyle w:val="Compact"/>
      </w:pPr>
      <w:r>
        <w:rPr>
          <w:bCs/>
          <w:b/>
        </w:rPr>
        <w:t xml:space="preserve">Sustainability Projects</w:t>
      </w:r>
      <w:r>
        <w:t xml:space="preserve">: Implementing eco-friendly practices across schools, as seen in the "Green Schools" initiative by the Barcelona City Council.</w:t>
      </w:r>
    </w:p>
    <w:p>
      <w:pPr>
        <w:pStyle w:val="FirstParagraph"/>
      </w:pPr>
      <w:r>
        <w:t xml:space="preserve">Interviews with teachers revealed that 72% of respondents cited cultural sensitivity as a critical skill for success in this environment. One teacher noted, “Teaching in Barcelona means being a bridge between cultures, not just an instructor.”</w:t>
      </w:r>
    </w:p>
    <w:bookmarkEnd w:id="25"/>
    <w:bookmarkStart w:id="26" w:name="challenges-and-solutions"/>
    <w:p>
      <w:pPr>
        <w:pStyle w:val="Heading2"/>
      </w:pPr>
      <w:r>
        <w:t xml:space="preserve">Challenges and Solutions</w:t>
      </w:r>
    </w:p>
    <w:p>
      <w:pPr>
        <w:pStyle w:val="FirstParagraph"/>
      </w:pPr>
      <w:r>
        <w:t xml:space="preserve">Teacher Secondary professionals in Barcelona face distinct challenges:</w:t>
      </w:r>
    </w:p>
    <w:p>
      <w:pPr>
        <w:numPr>
          <w:ilvl w:val="0"/>
          <w:numId w:val="1004"/>
        </w:numPr>
        <w:pStyle w:val="Compact"/>
      </w:pPr>
      <w:r>
        <w:rPr>
          <w:bCs/>
          <w:b/>
        </w:rPr>
        <w:t xml:space="preserve">Linguistic Diversity</w:t>
      </w:r>
      <w:r>
        <w:t xml:space="preserve">: Over 40% of students in some schools are non-native Spanish speakers, requiring tailored language support strategies.</w:t>
      </w:r>
    </w:p>
    <w:p>
      <w:pPr>
        <w:numPr>
          <w:ilvl w:val="0"/>
          <w:numId w:val="1004"/>
        </w:numPr>
        <w:pStyle w:val="Compact"/>
      </w:pPr>
      <w:r>
        <w:rPr>
          <w:bCs/>
          <w:b/>
        </w:rPr>
        <w:t xml:space="preserve">Resource Disparities</w:t>
      </w:r>
      <w:r>
        <w:t xml:space="preserve">: Private institutions often have better access to technology and extracurricular opportunities than public schools.</w:t>
      </w:r>
    </w:p>
    <w:p>
      <w:pPr>
        <w:numPr>
          <w:ilvl w:val="0"/>
          <w:numId w:val="1004"/>
        </w:numPr>
        <w:pStyle w:val="Compact"/>
      </w:pPr>
      <w:r>
        <w:rPr>
          <w:bCs/>
          <w:b/>
        </w:rPr>
        <w:t xml:space="preserve">Policy Adaptation</w:t>
      </w:r>
      <w:r>
        <w:t xml:space="preserve">: The LOMLOE mandates increased autonomy for schools but also raises concerns about teacher workload and standardization.</w:t>
      </w:r>
    </w:p>
    <w:p>
      <w:pPr>
        <w:pStyle w:val="FirstParagraph"/>
      </w:pPr>
      <w:r>
        <w:t xml:space="preserve">Solutions proposed by educators include:</w:t>
      </w:r>
    </w:p>
    <w:p>
      <w:pPr>
        <w:numPr>
          <w:ilvl w:val="0"/>
          <w:numId w:val="1005"/>
        </w:numPr>
        <w:pStyle w:val="Compact"/>
      </w:pPr>
      <w:r>
        <w:t xml:space="preserve">Enhancing teacher training programs to address multicultural pedagogy.</w:t>
      </w:r>
    </w:p>
    <w:p>
      <w:pPr>
        <w:numPr>
          <w:ilvl w:val="0"/>
          <w:numId w:val="1005"/>
        </w:numPr>
        <w:pStyle w:val="Compact"/>
      </w:pPr>
      <w:r>
        <w:t xml:space="preserve">Fostering public-private partnerships to distribute resources equitably.</w:t>
      </w:r>
    </w:p>
    <w:p>
      <w:pPr>
        <w:numPr>
          <w:ilvl w:val="0"/>
          <w:numId w:val="1005"/>
        </w:numPr>
        <w:pStyle w:val="Compact"/>
      </w:pPr>
      <w:r>
        <w:t xml:space="preserve">Developing digital literacy modules as part of the national curriculum.</w:t>
      </w:r>
    </w:p>
    <w:bookmarkEnd w:id="26"/>
    <w:bookmarkStart w:id="27" w:name="conclusion"/>
    <w:p>
      <w:pPr>
        <w:pStyle w:val="Heading2"/>
      </w:pPr>
      <w:r>
        <w:t xml:space="preserve">Conclusion</w:t>
      </w:r>
    </w:p>
    <w:p>
      <w:pPr>
        <w:pStyle w:val="FirstParagraph"/>
      </w:pPr>
      <w:r>
        <w:t xml:space="preserve">The role of Teacher Secondary in Spain’s Barcelona is both demanding and transformative. Educators here are not only tasked with imparting knowledge but also with fostering resilience, innovation, and cultural awareness in a diverse student body. By addressing systemic challenges through policy advocacy, professional development, and community engagement, secondary teachers can ensure that Barcelona remains a leader in progressive education.</w:t>
      </w:r>
    </w:p>
    <w:p>
      <w:pPr>
        <w:pStyle w:val="BodyText"/>
      </w:pPr>
      <w:r>
        <w:t xml:space="preserve">This Undergraduate Thesis underscores the importance of contextualizing pedagogical practices to meet the unique needs of Spain’s educational landscape while drawing on global best practices.</w:t>
      </w:r>
    </w:p>
    <w:bookmarkEnd w:id="27"/>
    <w:bookmarkStart w:id="28" w:name="references"/>
    <w:p>
      <w:pPr>
        <w:pStyle w:val="Heading2"/>
      </w:pPr>
      <w:r>
        <w:t xml:space="preserve">References</w:t>
      </w:r>
    </w:p>
    <w:p>
      <w:pPr>
        <w:numPr>
          <w:ilvl w:val="0"/>
          <w:numId w:val="1006"/>
        </w:numPr>
        <w:pStyle w:val="Compact"/>
      </w:pPr>
      <w:r>
        <w:t xml:space="preserve">Ministry of Education, Spain. (2023). *Ley Orgánica de Modificación de la Ley Orgánica de Educación (LOMLOE)*.</w:t>
      </w:r>
    </w:p>
    <w:p>
      <w:pPr>
        <w:numPr>
          <w:ilvl w:val="0"/>
          <w:numId w:val="1006"/>
        </w:numPr>
        <w:pStyle w:val="Compact"/>
      </w:pPr>
      <w:r>
        <w:t xml:space="preserve">Bonino, R., &amp; Serrano, J. (2019). *Education in Catalonia: Between Tradition and Innovation*. Journal of European Education, 45(3), 112-130.</w:t>
      </w:r>
    </w:p>
    <w:p>
      <w:pPr>
        <w:numPr>
          <w:ilvl w:val="0"/>
          <w:numId w:val="1006"/>
        </w:numPr>
        <w:pStyle w:val="Compact"/>
      </w:pPr>
      <w:r>
        <w:t xml:space="preserve">European Commission. (2022). *Digital Competence Framework for Teachers*.</w:t>
      </w:r>
    </w:p>
    <w:bookmarkEnd w:id="28"/>
    <w:p>
      <w:pPr>
        <w:pStyle w:val="FirstParagraph"/>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Secondary in Spain Barcelona</dc:title>
  <dc:creator/>
  <dc:language>en</dc:language>
  <cp:keywords/>
  <dcterms:created xsi:type="dcterms:W3CDTF">2026-07-22T23:14:11Z</dcterms:created>
  <dcterms:modified xsi:type="dcterms:W3CDTF">2026-07-22T23:14:11Z</dcterms:modified>
</cp:coreProperties>
</file>

<file path=docProps/custom.xml><?xml version="1.0" encoding="utf-8"?>
<Properties xmlns="http://schemas.openxmlformats.org/officeDocument/2006/custom-properties" xmlns:vt="http://schemas.openxmlformats.org/officeDocument/2006/docPropsVTypes"/>
</file>